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1C6C1B" w:rsidRDefault="001C6C1B" w:rsidP="00A54D27">
      <w:pPr>
        <w:spacing w:after="0"/>
        <w:jc w:val="center"/>
        <w:rPr>
          <w:b/>
          <w:sz w:val="28"/>
          <w:szCs w:val="28"/>
        </w:rPr>
      </w:pPr>
      <w:r>
        <w:rPr>
          <w:b/>
          <w:noProof/>
          <w:sz w:val="28"/>
          <w:szCs w:val="28"/>
        </w:rPr>
        <w:drawing>
          <wp:inline distT="0" distB="0" distL="0" distR="0" wp14:anchorId="5BE3CA9C" wp14:editId="6B94700B">
            <wp:extent cx="1596326" cy="989721"/>
            <wp:effectExtent l="0" t="0" r="444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jpg"/>
                    <pic:cNvPicPr/>
                  </pic:nvPicPr>
                  <pic:blipFill>
                    <a:blip r:embed="rId11">
                      <a:extLst>
                        <a:ext uri="{28A0092B-C50C-407E-A947-70E740481C1C}">
                          <a14:useLocalDpi xmlns:a14="http://schemas.microsoft.com/office/drawing/2010/main" val="0"/>
                        </a:ext>
                      </a:extLst>
                    </a:blip>
                    <a:stretch>
                      <a:fillRect/>
                    </a:stretch>
                  </pic:blipFill>
                  <pic:spPr>
                    <a:xfrm>
                      <a:off x="0" y="0"/>
                      <a:ext cx="1603685" cy="994284"/>
                    </a:xfrm>
                    <a:prstGeom prst="rect">
                      <a:avLst/>
                    </a:prstGeom>
                  </pic:spPr>
                </pic:pic>
              </a:graphicData>
            </a:graphic>
          </wp:inline>
        </w:drawing>
      </w:r>
    </w:p>
    <w:p w14:paraId="35CD7511" w14:textId="77777777" w:rsidR="006A7911" w:rsidRPr="00A54D27" w:rsidRDefault="00767574" w:rsidP="00A54D27">
      <w:pPr>
        <w:spacing w:after="0"/>
        <w:jc w:val="center"/>
        <w:rPr>
          <w:b/>
          <w:sz w:val="28"/>
          <w:szCs w:val="28"/>
        </w:rPr>
      </w:pPr>
      <w:r w:rsidRPr="00A54D27">
        <w:rPr>
          <w:b/>
          <w:sz w:val="28"/>
          <w:szCs w:val="28"/>
        </w:rPr>
        <w:t>Annual Performance Measurement Outcome Summary</w:t>
      </w:r>
    </w:p>
    <w:p w14:paraId="27F29A9C" w14:textId="4B620865" w:rsidR="00767574" w:rsidRPr="00A54D27" w:rsidRDefault="00D84C14" w:rsidP="00A54D27">
      <w:pPr>
        <w:spacing w:after="0"/>
        <w:jc w:val="center"/>
        <w:rPr>
          <w:b/>
          <w:sz w:val="28"/>
          <w:szCs w:val="28"/>
        </w:rPr>
      </w:pPr>
      <w:r>
        <w:rPr>
          <w:b/>
          <w:sz w:val="28"/>
          <w:szCs w:val="28"/>
        </w:rPr>
        <w:t>Fiscal Year 20</w:t>
      </w:r>
      <w:r w:rsidR="00032A11">
        <w:rPr>
          <w:b/>
          <w:sz w:val="28"/>
          <w:szCs w:val="28"/>
        </w:rPr>
        <w:t>2</w:t>
      </w:r>
      <w:r w:rsidR="00C531F3">
        <w:rPr>
          <w:b/>
          <w:sz w:val="28"/>
          <w:szCs w:val="28"/>
        </w:rPr>
        <w:t>5</w:t>
      </w:r>
    </w:p>
    <w:p w14:paraId="6DB06605" w14:textId="2792110B" w:rsidR="00767574" w:rsidRDefault="00D84C14" w:rsidP="00D04409">
      <w:pPr>
        <w:spacing w:after="0"/>
        <w:jc w:val="center"/>
        <w:rPr>
          <w:b/>
          <w:sz w:val="28"/>
          <w:szCs w:val="28"/>
        </w:rPr>
      </w:pPr>
      <w:r>
        <w:rPr>
          <w:b/>
          <w:sz w:val="28"/>
          <w:szCs w:val="28"/>
        </w:rPr>
        <w:t xml:space="preserve">July 1, </w:t>
      </w:r>
      <w:r w:rsidR="00BB0676">
        <w:rPr>
          <w:b/>
          <w:sz w:val="28"/>
          <w:szCs w:val="28"/>
        </w:rPr>
        <w:t>202</w:t>
      </w:r>
      <w:r w:rsidR="00C531F3">
        <w:rPr>
          <w:b/>
          <w:sz w:val="28"/>
          <w:szCs w:val="28"/>
        </w:rPr>
        <w:t>4</w:t>
      </w:r>
      <w:r w:rsidR="00BB0676">
        <w:rPr>
          <w:b/>
          <w:sz w:val="28"/>
          <w:szCs w:val="28"/>
        </w:rPr>
        <w:t>,</w:t>
      </w:r>
      <w:r>
        <w:rPr>
          <w:b/>
          <w:sz w:val="28"/>
          <w:szCs w:val="28"/>
        </w:rPr>
        <w:t xml:space="preserve"> to June 30, 20</w:t>
      </w:r>
      <w:r w:rsidR="00032A11">
        <w:rPr>
          <w:b/>
          <w:sz w:val="28"/>
          <w:szCs w:val="28"/>
        </w:rPr>
        <w:t>2</w:t>
      </w:r>
      <w:r w:rsidR="00C531F3">
        <w:rPr>
          <w:b/>
          <w:sz w:val="28"/>
          <w:szCs w:val="28"/>
        </w:rPr>
        <w:t>5</w:t>
      </w:r>
    </w:p>
    <w:p w14:paraId="0A37501D" w14:textId="77777777" w:rsidR="00D04409" w:rsidRPr="00D04409" w:rsidRDefault="00D04409" w:rsidP="00D04409">
      <w:pPr>
        <w:spacing w:after="0"/>
        <w:jc w:val="center"/>
        <w:rPr>
          <w:b/>
          <w:sz w:val="28"/>
          <w:szCs w:val="28"/>
        </w:rPr>
      </w:pPr>
    </w:p>
    <w:p w14:paraId="1EA810CC" w14:textId="77777777" w:rsidR="00895773" w:rsidRPr="00895773" w:rsidRDefault="00895773">
      <w:pPr>
        <w:rPr>
          <w:b/>
          <w:u w:val="single"/>
        </w:rPr>
      </w:pPr>
      <w:r w:rsidRPr="00895773">
        <w:rPr>
          <w:b/>
          <w:u w:val="single"/>
        </w:rPr>
        <w:t>SUMMARY COMMENTS:</w:t>
      </w:r>
    </w:p>
    <w:p w14:paraId="0A5759E4" w14:textId="47100AFD" w:rsidR="00C160DF" w:rsidRDefault="00032A11">
      <w:r>
        <w:t xml:space="preserve">The focus of Fiscal Year </w:t>
      </w:r>
      <w:r w:rsidR="00777A67">
        <w:t>202</w:t>
      </w:r>
      <w:r w:rsidR="00C531F3">
        <w:t>5</w:t>
      </w:r>
      <w:r w:rsidR="00777A67">
        <w:t xml:space="preserve"> has been </w:t>
      </w:r>
      <w:r w:rsidR="00C160DF">
        <w:t xml:space="preserve">focused on maintaining staffing levels </w:t>
      </w:r>
      <w:proofErr w:type="gramStart"/>
      <w:r w:rsidR="00C160DF">
        <w:t>in light of</w:t>
      </w:r>
      <w:proofErr w:type="gramEnd"/>
      <w:r w:rsidR="00C160DF">
        <w:t xml:space="preserve"> ongoing shortages in human services staffing and implementing and sustaining program changed related to the move away from sheltered work.   </w:t>
      </w:r>
    </w:p>
    <w:p w14:paraId="197D1B9C" w14:textId="5F806B37" w:rsidR="00C160DF" w:rsidRDefault="00C160DF">
      <w:r>
        <w:t xml:space="preserve">On October 1, 2024, we moved away from Sheltered Work.  All former contractors now work as employees for MainStreet Marketing Enterprises and make at least </w:t>
      </w:r>
      <w:r w:rsidR="009F51D0">
        <w:t xml:space="preserve">minimum wage.    Workers who had previously been paid under a subminimum wage certificate are now making between $7.25 and $14.50 per hour for assembly work and $15 per hour when providing administrative support.   This </w:t>
      </w:r>
      <w:proofErr w:type="gramStart"/>
      <w:r w:rsidR="009F51D0">
        <w:t>change  has</w:t>
      </w:r>
      <w:proofErr w:type="gramEnd"/>
      <w:r w:rsidR="009F51D0">
        <w:t xml:space="preserve"> also added staff in our day services program, as individuals served now split their time between working and day services programs.  </w:t>
      </w:r>
    </w:p>
    <w:p w14:paraId="38D793B7" w14:textId="6F98F055" w:rsidR="00967137" w:rsidRDefault="00C160DF">
      <w:r>
        <w:t xml:space="preserve">While the legislature approved a significant increase in waiver rates which allowed us to move our starting wage to $16.50 per hour in 2023, the legislated cost of living increases were not implemented as they are tied to state budget performance, which did not hit projections over the last 2 years, so there have been no increases in waiver rates since that time.  We have, as an </w:t>
      </w:r>
      <w:proofErr w:type="gramStart"/>
      <w:r>
        <w:t>organization</w:t>
      </w:r>
      <w:proofErr w:type="gramEnd"/>
      <w:r>
        <w:t xml:space="preserve"> been able to offer modest cost of living increases to our staff </w:t>
      </w:r>
      <w:proofErr w:type="gramStart"/>
      <w:r>
        <w:t>in spite of</w:t>
      </w:r>
      <w:proofErr w:type="gramEnd"/>
      <w:r>
        <w:t xml:space="preserve"> the rates not changing.  </w:t>
      </w:r>
      <w:r w:rsidR="00EF7242">
        <w:t xml:space="preserve">  </w:t>
      </w:r>
      <w:r w:rsidR="00967137">
        <w:t>Boone County continues to see very low unemployment rates, and competition for employees is very competitive in the area, especially as industrial and warehouse positions continue to expand. The job market continues to affect growth opportunities for the organization</w:t>
      </w:r>
      <w:r w:rsidR="00EF7242">
        <w:t xml:space="preserve">.  Because demand remains high, we have been adding to program capacity as staff have been able to be hired.  </w:t>
      </w:r>
      <w:r w:rsidR="00967137">
        <w:t xml:space="preserve"> </w:t>
      </w:r>
    </w:p>
    <w:p w14:paraId="61B9E7DE" w14:textId="42F5C243" w:rsidR="009D7253" w:rsidRDefault="009D7253">
      <w:r>
        <w:t>The agency successfully achieved a 3-year accreditation by CARF during its survey</w:t>
      </w:r>
      <w:r w:rsidR="00355D1D">
        <w:t xml:space="preserve"> in </w:t>
      </w:r>
      <w:r w:rsidR="00EF7242">
        <w:t>June 2023</w:t>
      </w:r>
      <w:r w:rsidR="00BB0676">
        <w:t xml:space="preserve">. </w:t>
      </w:r>
      <w:r w:rsidR="000C28F4">
        <w:t>The next survey will be due near the end of Fiscal Year 202</w:t>
      </w:r>
      <w:r w:rsidR="00EF7242">
        <w:t>6</w:t>
      </w:r>
      <w:r w:rsidR="00BB0676">
        <w:t xml:space="preserve">. </w:t>
      </w:r>
      <w:r w:rsidR="00C160DF">
        <w:t xml:space="preserve">The ongoing processes related to the accreditation process </w:t>
      </w:r>
    </w:p>
    <w:p w14:paraId="02AFBFFA" w14:textId="0BC33510" w:rsidR="00032A11" w:rsidRDefault="00032A11">
      <w:r>
        <w:t>Metrics measures in 202</w:t>
      </w:r>
      <w:r w:rsidR="00C160DF">
        <w:t>5</w:t>
      </w:r>
      <w:r>
        <w:t xml:space="preserve"> included review of Experience of Persons Served, Service Effectiveness, Service Efficiency, Access to Services, and Business Functions</w:t>
      </w:r>
      <w:r w:rsidR="00BB0676">
        <w:t xml:space="preserve">. </w:t>
      </w:r>
      <w:r>
        <w:t xml:space="preserve">Data used in </w:t>
      </w:r>
      <w:proofErr w:type="gramStart"/>
      <w:r>
        <w:t>the compiling of</w:t>
      </w:r>
      <w:proofErr w:type="gramEnd"/>
      <w:r>
        <w:t xml:space="preserve"> the metrics includes service delivery documentation in the electronic records system, self-reporting from department managers, incident report reviews, and financial record reviews</w:t>
      </w:r>
      <w:r w:rsidR="00BB0676">
        <w:t xml:space="preserve">. </w:t>
      </w:r>
      <w:r>
        <w:t>Department Managers and Directors are responsible for the maintenance of records</w:t>
      </w:r>
      <w:r w:rsidR="00BB0676">
        <w:t xml:space="preserve">. </w:t>
      </w:r>
      <w:r>
        <w:t xml:space="preserve">Service delivery, which is a key to obtaining our </w:t>
      </w:r>
      <w:proofErr w:type="gramStart"/>
      <w:r>
        <w:t>data</w:t>
      </w:r>
      <w:proofErr w:type="gramEnd"/>
      <w:r>
        <w:t xml:space="preserve"> is trained </w:t>
      </w:r>
      <w:proofErr w:type="gramStart"/>
      <w:r>
        <w:t>to</w:t>
      </w:r>
      <w:proofErr w:type="gramEnd"/>
      <w:r>
        <w:t xml:space="preserve"> all staff upon hire</w:t>
      </w:r>
      <w:r w:rsidR="00BB0676">
        <w:t xml:space="preserve">. </w:t>
      </w:r>
    </w:p>
    <w:p w14:paraId="74622D8E" w14:textId="2B56B4EF" w:rsidR="00895773" w:rsidRDefault="000C28F4">
      <w:r>
        <w:lastRenderedPageBreak/>
        <w:t>The tracking of</w:t>
      </w:r>
      <w:r w:rsidR="00895773">
        <w:t xml:space="preserve"> metrics </w:t>
      </w:r>
      <w:r w:rsidR="00BB0676">
        <w:t>continues</w:t>
      </w:r>
      <w:r>
        <w:t xml:space="preserve"> to be compiled </w:t>
      </w:r>
      <w:r w:rsidR="00EF7242">
        <w:t xml:space="preserve">using the system established in FY2021, with updates to measures as needs of the organization have evolved.  </w:t>
      </w:r>
      <w:r>
        <w:t>Applicable</w:t>
      </w:r>
      <w:r w:rsidR="00895773">
        <w:t xml:space="preserve"> data</w:t>
      </w:r>
      <w:r>
        <w:t xml:space="preserve"> </w:t>
      </w:r>
      <w:r w:rsidR="00EF7242">
        <w:t>from this data</w:t>
      </w:r>
      <w:r w:rsidR="00895773">
        <w:t xml:space="preserve"> is also compiled and shared with grant makers such as the United Way of Central Indiana</w:t>
      </w:r>
      <w:r w:rsidR="00BB0676">
        <w:t xml:space="preserve">. </w:t>
      </w:r>
      <w:r w:rsidR="00895773">
        <w:t>The full report of data will be distributed with this document</w:t>
      </w:r>
      <w:r w:rsidR="00BB0676">
        <w:t xml:space="preserve">. </w:t>
      </w:r>
      <w:r w:rsidR="00895773">
        <w:t>Key data points will be discussed in this document</w:t>
      </w:r>
      <w:r w:rsidR="00BB0676">
        <w:t xml:space="preserve">. </w:t>
      </w:r>
    </w:p>
    <w:p w14:paraId="661A9358" w14:textId="586D13A6" w:rsidR="00895773" w:rsidRDefault="00895773">
      <w:pPr>
        <w:rPr>
          <w:b/>
          <w:sz w:val="24"/>
          <w:u w:val="single"/>
        </w:rPr>
      </w:pPr>
      <w:r>
        <w:rPr>
          <w:b/>
          <w:sz w:val="24"/>
          <w:u w:val="single"/>
        </w:rPr>
        <w:t>PROGRAM DESCRIPTION</w:t>
      </w:r>
    </w:p>
    <w:p w14:paraId="198674DC" w14:textId="315802D0" w:rsidR="00895773" w:rsidRDefault="00895773" w:rsidP="00895773">
      <w:pPr>
        <w:pStyle w:val="ListParagraph"/>
        <w:ind w:left="360"/>
      </w:pPr>
      <w:r>
        <w:t>Managers and Department Directors maintain a dashboard report per department, with a summary of the data maintained by the Executive Director:</w:t>
      </w:r>
    </w:p>
    <w:p w14:paraId="563DE4FA" w14:textId="77777777" w:rsidR="00895773" w:rsidRDefault="00895773" w:rsidP="00895773">
      <w:pPr>
        <w:pStyle w:val="ListParagraph"/>
        <w:numPr>
          <w:ilvl w:val="0"/>
          <w:numId w:val="12"/>
        </w:numPr>
      </w:pPr>
      <w:r>
        <w:t>Demographics of persons served including gender, race, age, and county of residence</w:t>
      </w:r>
    </w:p>
    <w:p w14:paraId="1F86287C" w14:textId="77777777" w:rsidR="00895773" w:rsidRDefault="00895773" w:rsidP="00895773">
      <w:pPr>
        <w:pStyle w:val="ListParagraph"/>
        <w:numPr>
          <w:ilvl w:val="0"/>
          <w:numId w:val="12"/>
        </w:numPr>
      </w:pPr>
      <w:r>
        <w:t>Effectiveness of Services will be Tracked for each Service</w:t>
      </w:r>
    </w:p>
    <w:p w14:paraId="3E5632FD" w14:textId="69AAA997" w:rsidR="00895773" w:rsidRDefault="00895773" w:rsidP="00895773">
      <w:pPr>
        <w:pStyle w:val="ListParagraph"/>
        <w:numPr>
          <w:ilvl w:val="1"/>
          <w:numId w:val="12"/>
        </w:numPr>
      </w:pPr>
      <w:r>
        <w:t xml:space="preserve">Day Services </w:t>
      </w:r>
      <w:r w:rsidR="00F7057A">
        <w:t>track</w:t>
      </w:r>
      <w:r w:rsidR="009F51D0">
        <w:t>s participation in discovery classes, home skills, art, community safety and community navigation</w:t>
      </w:r>
    </w:p>
    <w:p w14:paraId="0BEEF53F" w14:textId="71255C85" w:rsidR="00895773" w:rsidRDefault="00895773" w:rsidP="00895773">
      <w:pPr>
        <w:pStyle w:val="ListParagraph"/>
        <w:numPr>
          <w:ilvl w:val="1"/>
          <w:numId w:val="12"/>
        </w:numPr>
      </w:pPr>
      <w:r>
        <w:t xml:space="preserve">Career Connections will include average rates </w:t>
      </w:r>
      <w:r w:rsidR="00F7057A">
        <w:t xml:space="preserve">for placements </w:t>
      </w:r>
      <w:r>
        <w:t>and the number of new job placements</w:t>
      </w:r>
    </w:p>
    <w:p w14:paraId="6943237D" w14:textId="77777777" w:rsidR="00895773" w:rsidRDefault="00895773" w:rsidP="00895773">
      <w:pPr>
        <w:pStyle w:val="ListParagraph"/>
        <w:numPr>
          <w:ilvl w:val="1"/>
          <w:numId w:val="12"/>
        </w:numPr>
      </w:pPr>
      <w:r>
        <w:t>Supported Living will include the number of community activities</w:t>
      </w:r>
    </w:p>
    <w:p w14:paraId="4FB555B1" w14:textId="29507BE9" w:rsidR="00895773" w:rsidRDefault="00895773" w:rsidP="00895773">
      <w:pPr>
        <w:pStyle w:val="ListParagraph"/>
        <w:numPr>
          <w:ilvl w:val="1"/>
          <w:numId w:val="12"/>
        </w:numPr>
      </w:pPr>
      <w:r>
        <w:t xml:space="preserve">Community integration in general across programs will look at </w:t>
      </w:r>
      <w:r w:rsidR="00F7057A">
        <w:t>nutrition/wellness</w:t>
      </w:r>
      <w:r>
        <w:t xml:space="preserve"> participants, </w:t>
      </w:r>
      <w:r w:rsidR="00F7057A">
        <w:t>nutrition/wellness</w:t>
      </w:r>
      <w:r>
        <w:t xml:space="preserve"> sessions, transportation participants, and trips documented as documented for United Way Basic Needs</w:t>
      </w:r>
      <w:r w:rsidR="00BB0676">
        <w:t xml:space="preserve">. </w:t>
      </w:r>
    </w:p>
    <w:p w14:paraId="7AA534A0" w14:textId="77777777" w:rsidR="00895773" w:rsidRDefault="00895773" w:rsidP="00895773">
      <w:pPr>
        <w:pStyle w:val="ListParagraph"/>
        <w:numPr>
          <w:ilvl w:val="0"/>
          <w:numId w:val="12"/>
        </w:numPr>
      </w:pPr>
      <w:r>
        <w:t>Experience of persons served will capture the following information by service:</w:t>
      </w:r>
    </w:p>
    <w:p w14:paraId="2EE0C959" w14:textId="77777777" w:rsidR="00895773" w:rsidRDefault="00895773" w:rsidP="00895773">
      <w:pPr>
        <w:pStyle w:val="ListParagraph"/>
        <w:numPr>
          <w:ilvl w:val="1"/>
          <w:numId w:val="12"/>
        </w:numPr>
      </w:pPr>
      <w:r>
        <w:t xml:space="preserve">Numbers and </w:t>
      </w:r>
      <w:proofErr w:type="gramStart"/>
      <w:r>
        <w:t>percent</w:t>
      </w:r>
      <w:proofErr w:type="gramEnd"/>
      <w:r>
        <w:t xml:space="preserve"> of persons satisfied</w:t>
      </w:r>
    </w:p>
    <w:p w14:paraId="0099327A" w14:textId="77777777" w:rsidR="00895773" w:rsidRDefault="00895773" w:rsidP="00895773">
      <w:pPr>
        <w:pStyle w:val="ListParagraph"/>
        <w:numPr>
          <w:ilvl w:val="1"/>
          <w:numId w:val="12"/>
        </w:numPr>
      </w:pPr>
      <w:r>
        <w:t>Substantiated Abuse/Neglect Incidents</w:t>
      </w:r>
    </w:p>
    <w:p w14:paraId="10322F51" w14:textId="77777777" w:rsidR="00895773" w:rsidRDefault="00895773" w:rsidP="00895773">
      <w:pPr>
        <w:pStyle w:val="ListParagraph"/>
        <w:numPr>
          <w:ilvl w:val="1"/>
          <w:numId w:val="12"/>
        </w:numPr>
      </w:pPr>
      <w:r>
        <w:t>Medication Errors</w:t>
      </w:r>
    </w:p>
    <w:p w14:paraId="704DE45B" w14:textId="77777777" w:rsidR="00895773" w:rsidRDefault="00895773" w:rsidP="00895773">
      <w:pPr>
        <w:pStyle w:val="ListParagraph"/>
        <w:numPr>
          <w:ilvl w:val="1"/>
          <w:numId w:val="12"/>
        </w:numPr>
      </w:pPr>
      <w:r>
        <w:t>Falls/Injury Incidents</w:t>
      </w:r>
    </w:p>
    <w:p w14:paraId="773E69A9" w14:textId="77777777" w:rsidR="00895773" w:rsidRDefault="00895773" w:rsidP="00895773">
      <w:pPr>
        <w:pStyle w:val="ListParagraph"/>
        <w:numPr>
          <w:ilvl w:val="1"/>
          <w:numId w:val="12"/>
        </w:numPr>
      </w:pPr>
      <w:r>
        <w:t>Formal Grievances</w:t>
      </w:r>
    </w:p>
    <w:p w14:paraId="30685E86" w14:textId="54673320" w:rsidR="00895773" w:rsidRDefault="00895773" w:rsidP="00895773">
      <w:pPr>
        <w:pStyle w:val="ListParagraph"/>
        <w:numPr>
          <w:ilvl w:val="0"/>
          <w:numId w:val="12"/>
        </w:numPr>
      </w:pPr>
      <w:r>
        <w:t>Stakeholder Feedback will include satisfaction from stakeholders including families and case managers</w:t>
      </w:r>
      <w:r w:rsidR="00BB0676">
        <w:t xml:space="preserve">. </w:t>
      </w:r>
      <w:r>
        <w:t>This survey will be completed at least annually.</w:t>
      </w:r>
    </w:p>
    <w:p w14:paraId="2EFF0456" w14:textId="77777777" w:rsidR="00895773" w:rsidRDefault="00895773" w:rsidP="00895773">
      <w:pPr>
        <w:pStyle w:val="ListParagraph"/>
        <w:numPr>
          <w:ilvl w:val="0"/>
          <w:numId w:val="12"/>
        </w:numPr>
      </w:pPr>
      <w:r>
        <w:t>Efficiency of Services will include the following demographics as they apply by service</w:t>
      </w:r>
    </w:p>
    <w:p w14:paraId="08561FED" w14:textId="77777777" w:rsidR="00895773" w:rsidRDefault="00895773" w:rsidP="00895773">
      <w:pPr>
        <w:pStyle w:val="ListParagraph"/>
        <w:numPr>
          <w:ilvl w:val="1"/>
          <w:numId w:val="12"/>
        </w:numPr>
      </w:pPr>
      <w:r>
        <w:t>Hours/services provided</w:t>
      </w:r>
    </w:p>
    <w:p w14:paraId="6B1381EA" w14:textId="77777777" w:rsidR="00895773" w:rsidRDefault="00895773" w:rsidP="00895773">
      <w:pPr>
        <w:pStyle w:val="ListParagraph"/>
        <w:numPr>
          <w:ilvl w:val="1"/>
          <w:numId w:val="12"/>
        </w:numPr>
      </w:pPr>
      <w:r>
        <w:t>Persons receiving billable services</w:t>
      </w:r>
    </w:p>
    <w:p w14:paraId="666BDE66" w14:textId="77777777" w:rsidR="00895773" w:rsidRDefault="00895773" w:rsidP="00895773">
      <w:pPr>
        <w:pStyle w:val="ListParagraph"/>
        <w:numPr>
          <w:ilvl w:val="1"/>
          <w:numId w:val="12"/>
        </w:numPr>
      </w:pPr>
      <w:r>
        <w:t>Administrative (non-billable) staff hours where applicable</w:t>
      </w:r>
    </w:p>
    <w:p w14:paraId="533FDA93" w14:textId="77777777" w:rsidR="00895773" w:rsidRDefault="00895773" w:rsidP="00895773">
      <w:pPr>
        <w:pStyle w:val="ListParagraph"/>
        <w:numPr>
          <w:ilvl w:val="1"/>
          <w:numId w:val="12"/>
        </w:numPr>
      </w:pPr>
      <w:r>
        <w:t>Service utilization</w:t>
      </w:r>
    </w:p>
    <w:p w14:paraId="53B12C57" w14:textId="77777777" w:rsidR="00895773" w:rsidRDefault="00895773" w:rsidP="00895773">
      <w:pPr>
        <w:pStyle w:val="ListParagraph"/>
        <w:numPr>
          <w:ilvl w:val="0"/>
          <w:numId w:val="12"/>
        </w:numPr>
      </w:pPr>
      <w:r>
        <w:t>Service access will include</w:t>
      </w:r>
    </w:p>
    <w:p w14:paraId="4EFEF7DF" w14:textId="32E769D7" w:rsidR="00895773" w:rsidRDefault="00895773" w:rsidP="00895773">
      <w:pPr>
        <w:pStyle w:val="ListParagraph"/>
        <w:numPr>
          <w:ilvl w:val="1"/>
          <w:numId w:val="12"/>
        </w:numPr>
      </w:pPr>
      <w:r>
        <w:t>Current total enrollment</w:t>
      </w:r>
    </w:p>
    <w:p w14:paraId="2677FFED" w14:textId="77777777" w:rsidR="00895773" w:rsidRDefault="00895773" w:rsidP="00895773">
      <w:pPr>
        <w:pStyle w:val="ListParagraph"/>
        <w:numPr>
          <w:ilvl w:val="1"/>
          <w:numId w:val="12"/>
        </w:numPr>
      </w:pPr>
      <w:r>
        <w:t>Referrals</w:t>
      </w:r>
    </w:p>
    <w:p w14:paraId="64A1FFBC" w14:textId="77777777" w:rsidR="00895773" w:rsidRDefault="00895773" w:rsidP="00895773">
      <w:pPr>
        <w:pStyle w:val="ListParagraph"/>
        <w:numPr>
          <w:ilvl w:val="1"/>
          <w:numId w:val="12"/>
        </w:numPr>
      </w:pPr>
      <w:r>
        <w:t>Admissions</w:t>
      </w:r>
    </w:p>
    <w:p w14:paraId="35DCCAEE" w14:textId="77777777" w:rsidR="00895773" w:rsidRDefault="00895773" w:rsidP="00895773">
      <w:pPr>
        <w:pStyle w:val="ListParagraph"/>
        <w:numPr>
          <w:ilvl w:val="1"/>
          <w:numId w:val="12"/>
        </w:numPr>
      </w:pPr>
      <w:r>
        <w:t>Wait List Numbers</w:t>
      </w:r>
    </w:p>
    <w:p w14:paraId="7261DB0F" w14:textId="77777777" w:rsidR="00895773" w:rsidRDefault="00895773" w:rsidP="00895773">
      <w:pPr>
        <w:pStyle w:val="ListParagraph"/>
        <w:numPr>
          <w:ilvl w:val="0"/>
          <w:numId w:val="12"/>
        </w:numPr>
      </w:pPr>
      <w:r>
        <w:t>Business Function will include</w:t>
      </w:r>
    </w:p>
    <w:p w14:paraId="2F1DBD0B" w14:textId="77777777" w:rsidR="00895773" w:rsidRDefault="00895773" w:rsidP="00895773">
      <w:pPr>
        <w:pStyle w:val="ListParagraph"/>
        <w:numPr>
          <w:ilvl w:val="1"/>
          <w:numId w:val="12"/>
        </w:numPr>
      </w:pPr>
      <w:r>
        <w:t>Employee Count</w:t>
      </w:r>
    </w:p>
    <w:p w14:paraId="22EA2CBC" w14:textId="77777777" w:rsidR="00895773" w:rsidRDefault="00895773" w:rsidP="00895773">
      <w:pPr>
        <w:pStyle w:val="ListParagraph"/>
        <w:numPr>
          <w:ilvl w:val="1"/>
          <w:numId w:val="12"/>
        </w:numPr>
      </w:pPr>
      <w:r>
        <w:t>Turnover</w:t>
      </w:r>
    </w:p>
    <w:p w14:paraId="0CC2E4B1" w14:textId="77777777" w:rsidR="00895773" w:rsidRDefault="00895773" w:rsidP="00895773">
      <w:pPr>
        <w:pStyle w:val="ListParagraph"/>
        <w:numPr>
          <w:ilvl w:val="1"/>
          <w:numId w:val="12"/>
        </w:numPr>
      </w:pPr>
      <w:r>
        <w:t>Revenue</w:t>
      </w:r>
    </w:p>
    <w:p w14:paraId="2BCC1D37" w14:textId="77777777" w:rsidR="00895773" w:rsidRDefault="00895773" w:rsidP="00895773">
      <w:pPr>
        <w:pStyle w:val="ListParagraph"/>
        <w:numPr>
          <w:ilvl w:val="1"/>
          <w:numId w:val="12"/>
        </w:numPr>
      </w:pPr>
      <w:r>
        <w:t>Profit Margin</w:t>
      </w:r>
    </w:p>
    <w:p w14:paraId="50898253" w14:textId="10984E1F" w:rsidR="00895773" w:rsidRDefault="00895773" w:rsidP="00895773">
      <w:pPr>
        <w:pStyle w:val="ListParagraph"/>
        <w:numPr>
          <w:ilvl w:val="1"/>
          <w:numId w:val="12"/>
        </w:numPr>
      </w:pPr>
      <w:r>
        <w:lastRenderedPageBreak/>
        <w:t>Current Ratio</w:t>
      </w:r>
    </w:p>
    <w:p w14:paraId="4A8EC203" w14:textId="12F8744B" w:rsidR="00895773" w:rsidRPr="00895773" w:rsidRDefault="00895773">
      <w:r>
        <w:t>Information is compiled from the accounting system, payroll system and client records manager</w:t>
      </w:r>
      <w:r w:rsidR="00BB0676">
        <w:t xml:space="preserve">. </w:t>
      </w:r>
      <w:r>
        <w:t xml:space="preserve">Staff entering information into each system are trained </w:t>
      </w:r>
      <w:proofErr w:type="gramStart"/>
      <w:r>
        <w:t>on</w:t>
      </w:r>
      <w:proofErr w:type="gramEnd"/>
      <w:r>
        <w:t xml:space="preserve"> their roles and responsibilities</w:t>
      </w:r>
      <w:r w:rsidR="00BB0676">
        <w:t xml:space="preserve">. </w:t>
      </w:r>
    </w:p>
    <w:p w14:paraId="1FCEC1BF" w14:textId="1CA3FDDF" w:rsidR="00767574" w:rsidRPr="000404AF" w:rsidRDefault="00895773">
      <w:pPr>
        <w:rPr>
          <w:b/>
          <w:sz w:val="32"/>
          <w:u w:val="single"/>
        </w:rPr>
      </w:pPr>
      <w:r w:rsidRPr="000404AF">
        <w:rPr>
          <w:b/>
          <w:sz w:val="32"/>
          <w:u w:val="single"/>
        </w:rPr>
        <w:t>INCIDENTS</w:t>
      </w:r>
    </w:p>
    <w:p w14:paraId="033E6711" w14:textId="49F9417D" w:rsidR="00C37D56" w:rsidRDefault="00D04813">
      <w:pPr>
        <w:rPr>
          <w:b/>
        </w:rPr>
      </w:pPr>
      <w:r>
        <w:rPr>
          <w:b/>
        </w:rPr>
        <w:t>Incidents – Falls and Injuries</w:t>
      </w:r>
      <w:r w:rsidR="00C37D56">
        <w:rPr>
          <w:b/>
        </w:rPr>
        <w:t xml:space="preserve"> – Goal no more </w:t>
      </w:r>
      <w:r w:rsidR="001C409B">
        <w:rPr>
          <w:b/>
        </w:rPr>
        <w:t xml:space="preserve">than </w:t>
      </w:r>
      <w:r w:rsidR="00B31233">
        <w:rPr>
          <w:b/>
        </w:rPr>
        <w:t>2</w:t>
      </w:r>
      <w:r w:rsidR="001C409B">
        <w:rPr>
          <w:b/>
        </w:rPr>
        <w:t xml:space="preserve"> per month – </w:t>
      </w:r>
      <w:r w:rsidR="00691003">
        <w:rPr>
          <w:b/>
        </w:rPr>
        <w:t xml:space="preserve">achieved </w:t>
      </w:r>
      <w:r w:rsidR="008B228F">
        <w:rPr>
          <w:b/>
        </w:rPr>
        <w:t>0.92</w:t>
      </w:r>
      <w:r w:rsidR="00C37D56">
        <w:rPr>
          <w:b/>
        </w:rPr>
        <w:t xml:space="preserve"> per month</w:t>
      </w:r>
      <w:r w:rsidR="005D5F76">
        <w:rPr>
          <w:b/>
        </w:rPr>
        <w:t xml:space="preserve"> (Experiences of Persons Served)</w:t>
      </w:r>
    </w:p>
    <w:tbl>
      <w:tblPr>
        <w:tblStyle w:val="TableGrid"/>
        <w:tblW w:w="0" w:type="auto"/>
        <w:tblLook w:val="04A0" w:firstRow="1" w:lastRow="0" w:firstColumn="1" w:lastColumn="0" w:noHBand="0" w:noVBand="1"/>
      </w:tblPr>
      <w:tblGrid>
        <w:gridCol w:w="5125"/>
        <w:gridCol w:w="2610"/>
      </w:tblGrid>
      <w:tr w:rsidR="00523871" w:rsidRPr="00AE767D" w14:paraId="2D30802D" w14:textId="77777777" w:rsidTr="00523871">
        <w:tc>
          <w:tcPr>
            <w:tcW w:w="5125" w:type="dxa"/>
            <w:shd w:val="clear" w:color="auto" w:fill="FBD4B4" w:themeFill="accent6" w:themeFillTint="66"/>
          </w:tcPr>
          <w:p w14:paraId="55934D83" w14:textId="77777777" w:rsidR="00523871" w:rsidRPr="00AE767D" w:rsidRDefault="00523871" w:rsidP="00523871">
            <w:r w:rsidRPr="00AE767D">
              <w:t>Service</w:t>
            </w:r>
          </w:p>
        </w:tc>
        <w:tc>
          <w:tcPr>
            <w:tcW w:w="2610" w:type="dxa"/>
            <w:shd w:val="clear" w:color="auto" w:fill="FBD4B4" w:themeFill="accent6" w:themeFillTint="66"/>
          </w:tcPr>
          <w:p w14:paraId="0F117E8C" w14:textId="26CE0B01" w:rsidR="00523871" w:rsidRPr="00AE767D" w:rsidRDefault="00523871" w:rsidP="00523871">
            <w:r>
              <w:t>Falls/Injuries Reported</w:t>
            </w:r>
          </w:p>
        </w:tc>
      </w:tr>
      <w:tr w:rsidR="00523871" w14:paraId="06FE3152" w14:textId="77777777" w:rsidTr="00523871">
        <w:tc>
          <w:tcPr>
            <w:tcW w:w="5125" w:type="dxa"/>
          </w:tcPr>
          <w:p w14:paraId="38B2047B" w14:textId="77777777" w:rsidR="00523871" w:rsidRDefault="00523871" w:rsidP="00523871">
            <w:r>
              <w:t>Career Connections</w:t>
            </w:r>
          </w:p>
        </w:tc>
        <w:tc>
          <w:tcPr>
            <w:tcW w:w="2610" w:type="dxa"/>
          </w:tcPr>
          <w:p w14:paraId="2062BD20" w14:textId="275463D5" w:rsidR="00523871" w:rsidRDefault="00523871" w:rsidP="00523871">
            <w:r>
              <w:t>0</w:t>
            </w:r>
          </w:p>
        </w:tc>
      </w:tr>
      <w:tr w:rsidR="00523871" w14:paraId="6390DD0C" w14:textId="77777777" w:rsidTr="00523871">
        <w:tc>
          <w:tcPr>
            <w:tcW w:w="5125" w:type="dxa"/>
          </w:tcPr>
          <w:p w14:paraId="60B6CF35" w14:textId="77777777" w:rsidR="00523871" w:rsidRDefault="00523871" w:rsidP="00523871">
            <w:r>
              <w:t>Day Services</w:t>
            </w:r>
          </w:p>
        </w:tc>
        <w:tc>
          <w:tcPr>
            <w:tcW w:w="2610" w:type="dxa"/>
          </w:tcPr>
          <w:p w14:paraId="60381BD6" w14:textId="29E7DB1C" w:rsidR="00523871" w:rsidRDefault="009F51D0" w:rsidP="00523871">
            <w:r>
              <w:t>7</w:t>
            </w:r>
          </w:p>
        </w:tc>
      </w:tr>
      <w:tr w:rsidR="00523871" w14:paraId="0BB465C9" w14:textId="77777777" w:rsidTr="00523871">
        <w:tc>
          <w:tcPr>
            <w:tcW w:w="5125" w:type="dxa"/>
          </w:tcPr>
          <w:p w14:paraId="477CFC50" w14:textId="77777777" w:rsidR="00523871" w:rsidRDefault="00523871" w:rsidP="00523871">
            <w:r>
              <w:t>Work Services</w:t>
            </w:r>
          </w:p>
        </w:tc>
        <w:tc>
          <w:tcPr>
            <w:tcW w:w="2610" w:type="dxa"/>
          </w:tcPr>
          <w:p w14:paraId="20E85292" w14:textId="1FAC7FC2" w:rsidR="009F51D0" w:rsidRDefault="009F51D0" w:rsidP="00523871">
            <w:r>
              <w:t>1</w:t>
            </w:r>
          </w:p>
        </w:tc>
      </w:tr>
      <w:tr w:rsidR="00523871" w14:paraId="514097D9" w14:textId="77777777" w:rsidTr="00523871">
        <w:tc>
          <w:tcPr>
            <w:tcW w:w="5125" w:type="dxa"/>
          </w:tcPr>
          <w:p w14:paraId="22B19315" w14:textId="77777777" w:rsidR="00523871" w:rsidRDefault="00523871" w:rsidP="00523871">
            <w:r>
              <w:t>Supported Living/Respite</w:t>
            </w:r>
          </w:p>
        </w:tc>
        <w:tc>
          <w:tcPr>
            <w:tcW w:w="2610" w:type="dxa"/>
          </w:tcPr>
          <w:p w14:paraId="116455E9" w14:textId="428C6932" w:rsidR="00523871" w:rsidRDefault="009F51D0" w:rsidP="00523871">
            <w:r>
              <w:t>3</w:t>
            </w:r>
          </w:p>
        </w:tc>
      </w:tr>
      <w:tr w:rsidR="00523871" w14:paraId="4AAC521E" w14:textId="77777777" w:rsidTr="00523871">
        <w:tc>
          <w:tcPr>
            <w:tcW w:w="5125" w:type="dxa"/>
            <w:shd w:val="clear" w:color="auto" w:fill="FBD4B4" w:themeFill="accent6" w:themeFillTint="66"/>
          </w:tcPr>
          <w:p w14:paraId="360E2F42" w14:textId="77777777" w:rsidR="00523871" w:rsidRDefault="00523871" w:rsidP="00523871">
            <w:r>
              <w:t>TOTALS</w:t>
            </w:r>
          </w:p>
        </w:tc>
        <w:tc>
          <w:tcPr>
            <w:tcW w:w="2610" w:type="dxa"/>
            <w:shd w:val="clear" w:color="auto" w:fill="FBD4B4" w:themeFill="accent6" w:themeFillTint="66"/>
          </w:tcPr>
          <w:p w14:paraId="5937BF22" w14:textId="6F7BC25F" w:rsidR="00523871" w:rsidRDefault="004D4C70" w:rsidP="00523871">
            <w:r>
              <w:t>1</w:t>
            </w:r>
            <w:r w:rsidR="009F51D0">
              <w:t>1</w:t>
            </w:r>
          </w:p>
        </w:tc>
      </w:tr>
      <w:tr w:rsidR="00523871" w14:paraId="6A43553E" w14:textId="77777777" w:rsidTr="00523871">
        <w:tc>
          <w:tcPr>
            <w:tcW w:w="5125" w:type="dxa"/>
            <w:shd w:val="clear" w:color="auto" w:fill="FBD4B4" w:themeFill="accent6" w:themeFillTint="66"/>
          </w:tcPr>
          <w:p w14:paraId="4FD72FC6" w14:textId="77777777" w:rsidR="00523871" w:rsidRDefault="00523871" w:rsidP="00523871">
            <w:r>
              <w:t>GOAL</w:t>
            </w:r>
          </w:p>
        </w:tc>
        <w:tc>
          <w:tcPr>
            <w:tcW w:w="2610" w:type="dxa"/>
            <w:shd w:val="clear" w:color="auto" w:fill="FBD4B4" w:themeFill="accent6" w:themeFillTint="66"/>
          </w:tcPr>
          <w:p w14:paraId="0D50A7D5" w14:textId="746D34EA" w:rsidR="00523871" w:rsidRDefault="00523871" w:rsidP="00523871">
            <w:r>
              <w:t>24 (2/month)</w:t>
            </w:r>
          </w:p>
        </w:tc>
      </w:tr>
    </w:tbl>
    <w:p w14:paraId="4D641834" w14:textId="3EDEF860" w:rsidR="00523871" w:rsidRDefault="00523871" w:rsidP="005D5F76">
      <w:pPr>
        <w:spacing w:after="0"/>
        <w:ind w:left="720"/>
        <w:jc w:val="both"/>
      </w:pPr>
    </w:p>
    <w:p w14:paraId="54013B38" w14:textId="77777777" w:rsidR="009F51D0" w:rsidRDefault="009F51D0" w:rsidP="00523871">
      <w:pPr>
        <w:spacing w:after="0"/>
        <w:jc w:val="both"/>
      </w:pPr>
    </w:p>
    <w:p w14:paraId="1176006C" w14:textId="77777777" w:rsidR="009F51D0" w:rsidRDefault="009F51D0" w:rsidP="00523871">
      <w:pPr>
        <w:spacing w:after="0"/>
        <w:jc w:val="both"/>
      </w:pPr>
      <w:r>
        <w:t>FU2024 Total = 17</w:t>
      </w:r>
    </w:p>
    <w:p w14:paraId="1CF1600B" w14:textId="75DF4564" w:rsidR="0031063E" w:rsidRDefault="0031063E" w:rsidP="00523871">
      <w:pPr>
        <w:spacing w:after="0"/>
        <w:jc w:val="both"/>
      </w:pPr>
      <w:r>
        <w:t>FY2023 Total = 16</w:t>
      </w:r>
    </w:p>
    <w:p w14:paraId="77FAD56C" w14:textId="444818EF" w:rsidR="00A45A85" w:rsidRDefault="00A45A85" w:rsidP="00523871">
      <w:pPr>
        <w:spacing w:after="0"/>
        <w:jc w:val="both"/>
      </w:pPr>
      <w:r>
        <w:t>FY2022 Total = 10</w:t>
      </w:r>
    </w:p>
    <w:p w14:paraId="0473B0D1" w14:textId="4F9C8092" w:rsidR="000404AF" w:rsidRDefault="00A45A85" w:rsidP="00523871">
      <w:pPr>
        <w:spacing w:after="0"/>
        <w:jc w:val="both"/>
      </w:pPr>
      <w:r>
        <w:t>FY2021</w:t>
      </w:r>
      <w:r w:rsidR="000404AF">
        <w:t xml:space="preserve"> </w:t>
      </w:r>
      <w:r>
        <w:t>T</w:t>
      </w:r>
      <w:r w:rsidR="000404AF">
        <w:t xml:space="preserve">otal = </w:t>
      </w:r>
      <w:r w:rsidR="004D4C70">
        <w:t>8</w:t>
      </w:r>
    </w:p>
    <w:p w14:paraId="40B9CE98" w14:textId="2DAE3A0C" w:rsidR="004D4C70" w:rsidRDefault="00A45A85" w:rsidP="00523871">
      <w:pPr>
        <w:spacing w:after="0"/>
        <w:jc w:val="both"/>
      </w:pPr>
      <w:r>
        <w:t>FY</w:t>
      </w:r>
      <w:r w:rsidR="004D4C70">
        <w:t>202</w:t>
      </w:r>
      <w:r>
        <w:t>0</w:t>
      </w:r>
      <w:r w:rsidR="004D4C70">
        <w:t xml:space="preserve"> Total = 30</w:t>
      </w:r>
    </w:p>
    <w:p w14:paraId="5DAB6C7B" w14:textId="7301D971" w:rsidR="00D87419" w:rsidRDefault="004D4C70" w:rsidP="005B53D5">
      <w:pPr>
        <w:spacing w:after="0"/>
        <w:jc w:val="both"/>
      </w:pPr>
      <w:r>
        <w:t>This year continues to see a relatively low rate of falls and injurie</w:t>
      </w:r>
      <w:r w:rsidR="00A45A85">
        <w:t xml:space="preserve">s, especially given that attendance numbers </w:t>
      </w:r>
      <w:r w:rsidR="009F51D0">
        <w:t>continued to increase</w:t>
      </w:r>
      <w:r>
        <w:t xml:space="preserve">.  </w:t>
      </w:r>
      <w:r w:rsidR="00A45A85">
        <w:t xml:space="preserve">Most of the falls have been isolated events and </w:t>
      </w:r>
      <w:proofErr w:type="gramStart"/>
      <w:r w:rsidR="00A45A85">
        <w:t>not</w:t>
      </w:r>
      <w:proofErr w:type="gramEnd"/>
      <w:r w:rsidR="00A45A85">
        <w:t xml:space="preserve"> seen to be part of a pattern of health decline or other issues.  </w:t>
      </w:r>
    </w:p>
    <w:p w14:paraId="5248318E" w14:textId="77777777" w:rsidR="00A45A85" w:rsidRDefault="00A45A85" w:rsidP="005B53D5">
      <w:pPr>
        <w:spacing w:after="0"/>
        <w:jc w:val="both"/>
      </w:pPr>
    </w:p>
    <w:p w14:paraId="3804DDE7" w14:textId="5E5478D6" w:rsidR="00D87419" w:rsidRDefault="00D87419" w:rsidP="00523871">
      <w:pPr>
        <w:jc w:val="both"/>
      </w:pPr>
      <w:r>
        <w:t xml:space="preserve">Reportable incidents are reviewed </w:t>
      </w:r>
      <w:r w:rsidR="001C409B">
        <w:t>regularly</w:t>
      </w:r>
      <w:r>
        <w:t xml:space="preserve"> by </w:t>
      </w:r>
      <w:r w:rsidR="001C409B">
        <w:t xml:space="preserve">departmental leadership and </w:t>
      </w:r>
      <w:r>
        <w:t>the safety committee</w:t>
      </w:r>
      <w:r w:rsidR="00BB0676">
        <w:t xml:space="preserve">. </w:t>
      </w:r>
      <w:r>
        <w:t xml:space="preserve">When systemic patterns are noted, suggestions are made to look at training needs, </w:t>
      </w:r>
      <w:r w:rsidR="00BB0676">
        <w:t>policies,</w:t>
      </w:r>
      <w:r>
        <w:t xml:space="preserve"> and procedures.</w:t>
      </w:r>
    </w:p>
    <w:p w14:paraId="5F0CFF3E" w14:textId="33DDDFA4" w:rsidR="005D5F76" w:rsidRDefault="000404AF" w:rsidP="00523871">
      <w:pPr>
        <w:jc w:val="both"/>
      </w:pPr>
      <w:r>
        <w:t>See later in the report for additional detail on incidents deemed critical</w:t>
      </w:r>
      <w:r w:rsidR="008B228F">
        <w:t>, as applicable</w:t>
      </w:r>
      <w:r w:rsidR="00BB0676">
        <w:t xml:space="preserve">. </w:t>
      </w:r>
      <w:r w:rsidR="005D5F76">
        <w:t>The Safety Committee will continue to review each incident and monitor critical incidents</w:t>
      </w:r>
      <w:r w:rsidR="00BB0676">
        <w:t xml:space="preserve">. </w:t>
      </w:r>
    </w:p>
    <w:p w14:paraId="797A3888" w14:textId="5F02A321" w:rsidR="005D5F76" w:rsidRDefault="005D5F76" w:rsidP="005D5F76">
      <w:pPr>
        <w:rPr>
          <w:b/>
        </w:rPr>
      </w:pPr>
      <w:r>
        <w:rPr>
          <w:b/>
        </w:rPr>
        <w:t xml:space="preserve">Substantiated Abuse and Neglect </w:t>
      </w:r>
      <w:r w:rsidR="00FD75B3">
        <w:rPr>
          <w:b/>
        </w:rPr>
        <w:t>by Employees</w:t>
      </w:r>
      <w:r>
        <w:rPr>
          <w:b/>
        </w:rPr>
        <w:t xml:space="preserve">– Goal no more than 1 per year, </w:t>
      </w:r>
      <w:r w:rsidR="008B228F">
        <w:rPr>
          <w:b/>
        </w:rPr>
        <w:t>1</w:t>
      </w:r>
      <w:r>
        <w:rPr>
          <w:b/>
        </w:rPr>
        <w:t xml:space="preserve"> occurred in the year (Experiences of Persons Served)</w:t>
      </w:r>
    </w:p>
    <w:tbl>
      <w:tblPr>
        <w:tblStyle w:val="TableGrid"/>
        <w:tblW w:w="0" w:type="auto"/>
        <w:tblLook w:val="04A0" w:firstRow="1" w:lastRow="0" w:firstColumn="1" w:lastColumn="0" w:noHBand="0" w:noVBand="1"/>
      </w:tblPr>
      <w:tblGrid>
        <w:gridCol w:w="5125"/>
        <w:gridCol w:w="3510"/>
      </w:tblGrid>
      <w:tr w:rsidR="00523871" w:rsidRPr="00AE767D" w14:paraId="70C4311B" w14:textId="77777777" w:rsidTr="00523871">
        <w:tc>
          <w:tcPr>
            <w:tcW w:w="5125" w:type="dxa"/>
            <w:shd w:val="clear" w:color="auto" w:fill="FBD4B4" w:themeFill="accent6" w:themeFillTint="66"/>
          </w:tcPr>
          <w:p w14:paraId="227D2E66" w14:textId="77777777" w:rsidR="00523871" w:rsidRPr="00AE767D" w:rsidRDefault="00523871" w:rsidP="00523871">
            <w:r w:rsidRPr="00AE767D">
              <w:t>Service</w:t>
            </w:r>
          </w:p>
        </w:tc>
        <w:tc>
          <w:tcPr>
            <w:tcW w:w="3510" w:type="dxa"/>
            <w:shd w:val="clear" w:color="auto" w:fill="FBD4B4" w:themeFill="accent6" w:themeFillTint="66"/>
          </w:tcPr>
          <w:p w14:paraId="3769CC02" w14:textId="63C1DE36" w:rsidR="00523871" w:rsidRPr="00AE767D" w:rsidRDefault="00523871" w:rsidP="00523871">
            <w:r>
              <w:t>Abuse/Neglect Substantiated</w:t>
            </w:r>
          </w:p>
        </w:tc>
      </w:tr>
      <w:tr w:rsidR="00523871" w14:paraId="0714B110" w14:textId="77777777" w:rsidTr="00523871">
        <w:tc>
          <w:tcPr>
            <w:tcW w:w="5125" w:type="dxa"/>
          </w:tcPr>
          <w:p w14:paraId="319CC47B" w14:textId="77777777" w:rsidR="00523871" w:rsidRDefault="00523871" w:rsidP="00523871">
            <w:r>
              <w:t>Career Connections</w:t>
            </w:r>
          </w:p>
        </w:tc>
        <w:tc>
          <w:tcPr>
            <w:tcW w:w="3510" w:type="dxa"/>
          </w:tcPr>
          <w:p w14:paraId="662A7D45" w14:textId="77777777" w:rsidR="00523871" w:rsidRDefault="00523871" w:rsidP="00523871">
            <w:r>
              <w:t>0</w:t>
            </w:r>
          </w:p>
        </w:tc>
      </w:tr>
      <w:tr w:rsidR="00523871" w14:paraId="47264BC9" w14:textId="77777777" w:rsidTr="00523871">
        <w:tc>
          <w:tcPr>
            <w:tcW w:w="5125" w:type="dxa"/>
          </w:tcPr>
          <w:p w14:paraId="3FD962FE" w14:textId="77777777" w:rsidR="00523871" w:rsidRDefault="00523871" w:rsidP="00523871">
            <w:r>
              <w:t>Day Services</w:t>
            </w:r>
          </w:p>
        </w:tc>
        <w:tc>
          <w:tcPr>
            <w:tcW w:w="3510" w:type="dxa"/>
          </w:tcPr>
          <w:p w14:paraId="11B77C40" w14:textId="31696895" w:rsidR="00523871" w:rsidRDefault="008B228F" w:rsidP="00523871">
            <w:r>
              <w:t>1</w:t>
            </w:r>
          </w:p>
        </w:tc>
      </w:tr>
      <w:tr w:rsidR="00523871" w14:paraId="7F767FA0" w14:textId="77777777" w:rsidTr="00523871">
        <w:tc>
          <w:tcPr>
            <w:tcW w:w="5125" w:type="dxa"/>
          </w:tcPr>
          <w:p w14:paraId="23364220" w14:textId="77777777" w:rsidR="00523871" w:rsidRDefault="00523871" w:rsidP="00523871">
            <w:r>
              <w:t>Work Services</w:t>
            </w:r>
          </w:p>
        </w:tc>
        <w:tc>
          <w:tcPr>
            <w:tcW w:w="3510" w:type="dxa"/>
          </w:tcPr>
          <w:p w14:paraId="739392E0" w14:textId="2EAC489A" w:rsidR="00523871" w:rsidRDefault="00523871" w:rsidP="00523871">
            <w:r>
              <w:t>0</w:t>
            </w:r>
          </w:p>
        </w:tc>
      </w:tr>
      <w:tr w:rsidR="00523871" w14:paraId="3664BD83" w14:textId="77777777" w:rsidTr="00523871">
        <w:tc>
          <w:tcPr>
            <w:tcW w:w="5125" w:type="dxa"/>
          </w:tcPr>
          <w:p w14:paraId="000B1ED5" w14:textId="77777777" w:rsidR="00523871" w:rsidRDefault="00523871" w:rsidP="00523871">
            <w:r>
              <w:t>Supported Living/Respite</w:t>
            </w:r>
          </w:p>
        </w:tc>
        <w:tc>
          <w:tcPr>
            <w:tcW w:w="3510" w:type="dxa"/>
          </w:tcPr>
          <w:p w14:paraId="45AA6EAD" w14:textId="67ACAF80" w:rsidR="00523871" w:rsidRDefault="008B228F" w:rsidP="00523871">
            <w:r>
              <w:t>0</w:t>
            </w:r>
          </w:p>
        </w:tc>
      </w:tr>
      <w:tr w:rsidR="00523871" w14:paraId="68F5255E" w14:textId="77777777" w:rsidTr="00523871">
        <w:tc>
          <w:tcPr>
            <w:tcW w:w="5125" w:type="dxa"/>
            <w:shd w:val="clear" w:color="auto" w:fill="FBD4B4" w:themeFill="accent6" w:themeFillTint="66"/>
          </w:tcPr>
          <w:p w14:paraId="51C729D3" w14:textId="77777777" w:rsidR="00523871" w:rsidRDefault="00523871" w:rsidP="00523871">
            <w:r>
              <w:t>TOTALS</w:t>
            </w:r>
          </w:p>
        </w:tc>
        <w:tc>
          <w:tcPr>
            <w:tcW w:w="3510" w:type="dxa"/>
            <w:shd w:val="clear" w:color="auto" w:fill="FBD4B4" w:themeFill="accent6" w:themeFillTint="66"/>
          </w:tcPr>
          <w:p w14:paraId="609C5852" w14:textId="33DE93B0" w:rsidR="00523871" w:rsidRDefault="00A77333" w:rsidP="00523871">
            <w:r>
              <w:t>1</w:t>
            </w:r>
          </w:p>
        </w:tc>
      </w:tr>
      <w:tr w:rsidR="00523871" w14:paraId="5F00481A" w14:textId="77777777" w:rsidTr="00523871">
        <w:tc>
          <w:tcPr>
            <w:tcW w:w="5125" w:type="dxa"/>
            <w:shd w:val="clear" w:color="auto" w:fill="FBD4B4" w:themeFill="accent6" w:themeFillTint="66"/>
          </w:tcPr>
          <w:p w14:paraId="1FA7705A" w14:textId="77777777" w:rsidR="00523871" w:rsidRDefault="00523871" w:rsidP="00523871">
            <w:r>
              <w:t>GOAL</w:t>
            </w:r>
          </w:p>
        </w:tc>
        <w:tc>
          <w:tcPr>
            <w:tcW w:w="3510" w:type="dxa"/>
            <w:shd w:val="clear" w:color="auto" w:fill="FBD4B4" w:themeFill="accent6" w:themeFillTint="66"/>
          </w:tcPr>
          <w:p w14:paraId="758DE111" w14:textId="53766793" w:rsidR="00523871" w:rsidRDefault="00523871" w:rsidP="00523871">
            <w:r>
              <w:t>1</w:t>
            </w:r>
          </w:p>
        </w:tc>
      </w:tr>
    </w:tbl>
    <w:p w14:paraId="74F27EA2" w14:textId="77777777" w:rsidR="00523871" w:rsidRDefault="00523871" w:rsidP="005D5F76">
      <w:pPr>
        <w:ind w:left="720"/>
      </w:pPr>
    </w:p>
    <w:p w14:paraId="60D7B2DD" w14:textId="7C662AF8" w:rsidR="005D5F76" w:rsidRDefault="008B228F" w:rsidP="00523871">
      <w:r>
        <w:t xml:space="preserve">The 1 incident this past year involved texting between an employee with a disability and another person supported.  While the phone contact appears to have been consensual, because it involved an endangered adult, it was considered inappropriate and substantiated.  The employee was terminated.  </w:t>
      </w:r>
      <w:r w:rsidR="00435291">
        <w:t xml:space="preserve">All reports were also shared with Adult Protective Services </w:t>
      </w:r>
      <w:r w:rsidR="00603D12">
        <w:t xml:space="preserve">and other state reporting entities, </w:t>
      </w:r>
      <w:r w:rsidR="00435291">
        <w:t xml:space="preserve">as required. </w:t>
      </w:r>
    </w:p>
    <w:p w14:paraId="73C55377" w14:textId="6859AA45" w:rsidR="007C13C9" w:rsidRPr="00D87419" w:rsidRDefault="007C13C9" w:rsidP="00523871">
      <w:r>
        <w:t>Abuse, Neglect and Exploitation is trained with staff upon hire and annually to ensure that staff understand treatment expectations and reporting requirements</w:t>
      </w:r>
      <w:r w:rsidR="00BB0676">
        <w:t xml:space="preserve">. </w:t>
      </w:r>
      <w:r>
        <w:t>The safety committee continues to review incidents</w:t>
      </w:r>
      <w:r w:rsidR="00BB0676">
        <w:t xml:space="preserve">. </w:t>
      </w:r>
    </w:p>
    <w:p w14:paraId="47BA5EBB" w14:textId="7D008E23" w:rsidR="00523871" w:rsidRDefault="00D87419" w:rsidP="00896E92">
      <w:pPr>
        <w:rPr>
          <w:b/>
        </w:rPr>
      </w:pPr>
      <w:r>
        <w:rPr>
          <w:b/>
        </w:rPr>
        <w:t>Medication Errors – Goal no more</w:t>
      </w:r>
      <w:r w:rsidR="001C409B">
        <w:rPr>
          <w:b/>
        </w:rPr>
        <w:t xml:space="preserve"> than 2 per month, achieved 0.</w:t>
      </w:r>
      <w:r w:rsidR="000F407B">
        <w:rPr>
          <w:b/>
        </w:rPr>
        <w:t>333</w:t>
      </w:r>
      <w:r>
        <w:rPr>
          <w:b/>
        </w:rPr>
        <w:t xml:space="preserve"> per month</w:t>
      </w:r>
      <w:r w:rsidR="007C13C9">
        <w:rPr>
          <w:b/>
        </w:rPr>
        <w:t xml:space="preserve"> (Experiences of Persons Served)</w:t>
      </w:r>
    </w:p>
    <w:tbl>
      <w:tblPr>
        <w:tblStyle w:val="TableGrid"/>
        <w:tblW w:w="0" w:type="auto"/>
        <w:tblLook w:val="04A0" w:firstRow="1" w:lastRow="0" w:firstColumn="1" w:lastColumn="0" w:noHBand="0" w:noVBand="1"/>
      </w:tblPr>
      <w:tblGrid>
        <w:gridCol w:w="5125"/>
        <w:gridCol w:w="2610"/>
      </w:tblGrid>
      <w:tr w:rsidR="00523871" w:rsidRPr="00AE767D" w14:paraId="58C3236A" w14:textId="77777777" w:rsidTr="00523871">
        <w:tc>
          <w:tcPr>
            <w:tcW w:w="5125" w:type="dxa"/>
            <w:shd w:val="clear" w:color="auto" w:fill="FBD4B4" w:themeFill="accent6" w:themeFillTint="66"/>
          </w:tcPr>
          <w:p w14:paraId="3DABC6E1" w14:textId="77777777" w:rsidR="00523871" w:rsidRPr="00AE767D" w:rsidRDefault="00523871" w:rsidP="00523871">
            <w:r w:rsidRPr="00AE767D">
              <w:t>Service</w:t>
            </w:r>
          </w:p>
        </w:tc>
        <w:tc>
          <w:tcPr>
            <w:tcW w:w="2610" w:type="dxa"/>
            <w:shd w:val="clear" w:color="auto" w:fill="FBD4B4" w:themeFill="accent6" w:themeFillTint="66"/>
          </w:tcPr>
          <w:p w14:paraId="01F96C7A" w14:textId="2C6D2A4F" w:rsidR="00523871" w:rsidRPr="00AE767D" w:rsidRDefault="00523871" w:rsidP="00523871">
            <w:r>
              <w:t>Medication Errors Reported</w:t>
            </w:r>
          </w:p>
        </w:tc>
      </w:tr>
      <w:tr w:rsidR="00523871" w14:paraId="2515F3BB" w14:textId="77777777" w:rsidTr="00523871">
        <w:tc>
          <w:tcPr>
            <w:tcW w:w="5125" w:type="dxa"/>
          </w:tcPr>
          <w:p w14:paraId="513281F6" w14:textId="77777777" w:rsidR="00523871" w:rsidRDefault="00523871" w:rsidP="00523871">
            <w:r>
              <w:t>Career Connections</w:t>
            </w:r>
          </w:p>
        </w:tc>
        <w:tc>
          <w:tcPr>
            <w:tcW w:w="2610" w:type="dxa"/>
          </w:tcPr>
          <w:p w14:paraId="19B08CCA" w14:textId="77777777" w:rsidR="00523871" w:rsidRDefault="00523871" w:rsidP="00523871">
            <w:r>
              <w:t>0</w:t>
            </w:r>
          </w:p>
        </w:tc>
      </w:tr>
      <w:tr w:rsidR="00523871" w14:paraId="2E0B5770" w14:textId="77777777" w:rsidTr="00523871">
        <w:tc>
          <w:tcPr>
            <w:tcW w:w="5125" w:type="dxa"/>
          </w:tcPr>
          <w:p w14:paraId="5634184F" w14:textId="77777777" w:rsidR="00523871" w:rsidRDefault="00523871" w:rsidP="00523871">
            <w:r>
              <w:t>Day Services</w:t>
            </w:r>
          </w:p>
        </w:tc>
        <w:tc>
          <w:tcPr>
            <w:tcW w:w="2610" w:type="dxa"/>
          </w:tcPr>
          <w:p w14:paraId="27958490" w14:textId="7FC4D687" w:rsidR="00523871" w:rsidRDefault="00A77333" w:rsidP="00523871">
            <w:r>
              <w:t>0</w:t>
            </w:r>
          </w:p>
        </w:tc>
      </w:tr>
      <w:tr w:rsidR="00523871" w14:paraId="0398D15F" w14:textId="77777777" w:rsidTr="00523871">
        <w:tc>
          <w:tcPr>
            <w:tcW w:w="5125" w:type="dxa"/>
          </w:tcPr>
          <w:p w14:paraId="04263656" w14:textId="77777777" w:rsidR="00523871" w:rsidRDefault="00523871" w:rsidP="00523871">
            <w:r>
              <w:t>Work Services</w:t>
            </w:r>
          </w:p>
        </w:tc>
        <w:tc>
          <w:tcPr>
            <w:tcW w:w="2610" w:type="dxa"/>
          </w:tcPr>
          <w:p w14:paraId="48FF4221" w14:textId="77A33744" w:rsidR="00523871" w:rsidRDefault="00645CE1" w:rsidP="00523871">
            <w:r>
              <w:t>0</w:t>
            </w:r>
          </w:p>
        </w:tc>
      </w:tr>
      <w:tr w:rsidR="00523871" w14:paraId="3C5AF7F8" w14:textId="77777777" w:rsidTr="00523871">
        <w:tc>
          <w:tcPr>
            <w:tcW w:w="5125" w:type="dxa"/>
          </w:tcPr>
          <w:p w14:paraId="18A4D3C6" w14:textId="77777777" w:rsidR="00523871" w:rsidRDefault="00523871" w:rsidP="00523871">
            <w:r>
              <w:t>Supported Living/Respite</w:t>
            </w:r>
          </w:p>
        </w:tc>
        <w:tc>
          <w:tcPr>
            <w:tcW w:w="2610" w:type="dxa"/>
          </w:tcPr>
          <w:p w14:paraId="065D177E" w14:textId="32693827" w:rsidR="00523871" w:rsidRDefault="00A77333" w:rsidP="00523871">
            <w:r>
              <w:t>0</w:t>
            </w:r>
          </w:p>
        </w:tc>
      </w:tr>
      <w:tr w:rsidR="00523871" w14:paraId="681A31BC" w14:textId="77777777" w:rsidTr="00523871">
        <w:tc>
          <w:tcPr>
            <w:tcW w:w="5125" w:type="dxa"/>
            <w:shd w:val="clear" w:color="auto" w:fill="FBD4B4" w:themeFill="accent6" w:themeFillTint="66"/>
          </w:tcPr>
          <w:p w14:paraId="08E7AB9B" w14:textId="77777777" w:rsidR="00523871" w:rsidRDefault="00523871" w:rsidP="00523871">
            <w:r>
              <w:t>TOTALS</w:t>
            </w:r>
          </w:p>
        </w:tc>
        <w:tc>
          <w:tcPr>
            <w:tcW w:w="2610" w:type="dxa"/>
            <w:shd w:val="clear" w:color="auto" w:fill="FBD4B4" w:themeFill="accent6" w:themeFillTint="66"/>
          </w:tcPr>
          <w:p w14:paraId="3AAF09DD" w14:textId="3FEB7AE9" w:rsidR="00523871" w:rsidRDefault="00A77333" w:rsidP="00523871">
            <w:r>
              <w:t>0</w:t>
            </w:r>
          </w:p>
        </w:tc>
      </w:tr>
      <w:tr w:rsidR="00523871" w14:paraId="4A81CE68" w14:textId="77777777" w:rsidTr="00523871">
        <w:tc>
          <w:tcPr>
            <w:tcW w:w="5125" w:type="dxa"/>
            <w:shd w:val="clear" w:color="auto" w:fill="FBD4B4" w:themeFill="accent6" w:themeFillTint="66"/>
          </w:tcPr>
          <w:p w14:paraId="4FF2D9F4" w14:textId="77777777" w:rsidR="00523871" w:rsidRDefault="00523871" w:rsidP="00523871">
            <w:r>
              <w:t>GOAL</w:t>
            </w:r>
          </w:p>
        </w:tc>
        <w:tc>
          <w:tcPr>
            <w:tcW w:w="2610" w:type="dxa"/>
            <w:shd w:val="clear" w:color="auto" w:fill="FBD4B4" w:themeFill="accent6" w:themeFillTint="66"/>
          </w:tcPr>
          <w:p w14:paraId="32A04B9F" w14:textId="77777777" w:rsidR="00523871" w:rsidRDefault="00523871" w:rsidP="00523871">
            <w:r>
              <w:t>24 (2/month)</w:t>
            </w:r>
          </w:p>
        </w:tc>
      </w:tr>
    </w:tbl>
    <w:p w14:paraId="4DFC9669" w14:textId="77777777" w:rsidR="00523871" w:rsidRDefault="00523871" w:rsidP="00AE767D">
      <w:pPr>
        <w:ind w:left="720"/>
      </w:pPr>
    </w:p>
    <w:p w14:paraId="4AC47832" w14:textId="354FDFDA" w:rsidR="00AE767D" w:rsidRPr="00D87419" w:rsidRDefault="003912D7" w:rsidP="00523871">
      <w:r>
        <w:t xml:space="preserve">There were </w:t>
      </w:r>
      <w:r w:rsidR="00603D12">
        <w:t>0</w:t>
      </w:r>
      <w:r w:rsidR="00D87419">
        <w:t xml:space="preserve"> documented medication errors by staff this year.  </w:t>
      </w:r>
    </w:p>
    <w:p w14:paraId="2A983D6A" w14:textId="7D406748" w:rsidR="007C13C9" w:rsidRDefault="007C13C9">
      <w:pPr>
        <w:rPr>
          <w:b/>
        </w:rPr>
      </w:pPr>
      <w:r>
        <w:rPr>
          <w:b/>
        </w:rPr>
        <w:t>Referrals</w:t>
      </w:r>
      <w:r w:rsidR="00603D12">
        <w:rPr>
          <w:b/>
        </w:rPr>
        <w:t xml:space="preserve"> and Admissions</w:t>
      </w:r>
      <w:r>
        <w:rPr>
          <w:b/>
        </w:rPr>
        <w:t>–</w:t>
      </w:r>
      <w:r w:rsidR="00A77333">
        <w:rPr>
          <w:b/>
        </w:rPr>
        <w:t xml:space="preserve"> goal </w:t>
      </w:r>
      <w:r>
        <w:rPr>
          <w:b/>
        </w:rPr>
        <w:t xml:space="preserve">22 </w:t>
      </w:r>
      <w:r w:rsidR="00B77658">
        <w:rPr>
          <w:b/>
        </w:rPr>
        <w:t xml:space="preserve">admissions </w:t>
      </w:r>
      <w:r>
        <w:rPr>
          <w:b/>
        </w:rPr>
        <w:t>(</w:t>
      </w:r>
      <w:r w:rsidR="00B77658">
        <w:rPr>
          <w:b/>
        </w:rPr>
        <w:t>Access</w:t>
      </w:r>
      <w:r>
        <w:rPr>
          <w:b/>
        </w:rPr>
        <w:t>)</w:t>
      </w:r>
      <w:r w:rsidR="00AE767D">
        <w:rPr>
          <w:b/>
        </w:rPr>
        <w:tab/>
      </w:r>
    </w:p>
    <w:tbl>
      <w:tblPr>
        <w:tblStyle w:val="TableGrid"/>
        <w:tblW w:w="0" w:type="auto"/>
        <w:tblLook w:val="04A0" w:firstRow="1" w:lastRow="0" w:firstColumn="1" w:lastColumn="0" w:noHBand="0" w:noVBand="1"/>
      </w:tblPr>
      <w:tblGrid>
        <w:gridCol w:w="5125"/>
        <w:gridCol w:w="1440"/>
      </w:tblGrid>
      <w:tr w:rsidR="00A77333" w14:paraId="6ABB57C7" w14:textId="77777777" w:rsidTr="00603D12">
        <w:tc>
          <w:tcPr>
            <w:tcW w:w="5125" w:type="dxa"/>
            <w:shd w:val="clear" w:color="auto" w:fill="FBD4B4" w:themeFill="accent6" w:themeFillTint="66"/>
          </w:tcPr>
          <w:p w14:paraId="3C5FFE37" w14:textId="44DAEB41" w:rsidR="00A77333" w:rsidRPr="00AE767D" w:rsidRDefault="00A77333">
            <w:r w:rsidRPr="00AE767D">
              <w:t>Service</w:t>
            </w:r>
          </w:p>
        </w:tc>
        <w:tc>
          <w:tcPr>
            <w:tcW w:w="1440" w:type="dxa"/>
            <w:shd w:val="clear" w:color="auto" w:fill="FBD4B4" w:themeFill="accent6" w:themeFillTint="66"/>
          </w:tcPr>
          <w:p w14:paraId="5AA598A6" w14:textId="75306DD3" w:rsidR="00A77333" w:rsidRPr="00AE767D" w:rsidRDefault="00A77333">
            <w:r w:rsidRPr="00AE767D">
              <w:t>Admissions</w:t>
            </w:r>
          </w:p>
        </w:tc>
      </w:tr>
      <w:tr w:rsidR="00A77333" w14:paraId="2C217664" w14:textId="77777777" w:rsidTr="00603D12">
        <w:tc>
          <w:tcPr>
            <w:tcW w:w="5125" w:type="dxa"/>
          </w:tcPr>
          <w:p w14:paraId="302360E9" w14:textId="507A050F" w:rsidR="00A77333" w:rsidRDefault="00A77333">
            <w:r>
              <w:t>Day Services/Work Services</w:t>
            </w:r>
          </w:p>
        </w:tc>
        <w:tc>
          <w:tcPr>
            <w:tcW w:w="1440" w:type="dxa"/>
          </w:tcPr>
          <w:p w14:paraId="1807CAF6" w14:textId="5E8798AC" w:rsidR="00A77333" w:rsidRDefault="00A77333">
            <w:r>
              <w:t>8</w:t>
            </w:r>
          </w:p>
        </w:tc>
      </w:tr>
      <w:tr w:rsidR="00A77333" w14:paraId="5188BB22" w14:textId="77777777" w:rsidTr="00603D12">
        <w:tc>
          <w:tcPr>
            <w:tcW w:w="5125" w:type="dxa"/>
          </w:tcPr>
          <w:p w14:paraId="1AC7AF60" w14:textId="74F62DA8" w:rsidR="00A77333" w:rsidRDefault="00A77333">
            <w:r>
              <w:t>Supported Living/Respite</w:t>
            </w:r>
          </w:p>
        </w:tc>
        <w:tc>
          <w:tcPr>
            <w:tcW w:w="1440" w:type="dxa"/>
          </w:tcPr>
          <w:p w14:paraId="7E1F48A1" w14:textId="60061589" w:rsidR="00A77333" w:rsidRDefault="00A77333">
            <w:r>
              <w:t>15</w:t>
            </w:r>
          </w:p>
        </w:tc>
      </w:tr>
      <w:tr w:rsidR="00A77333" w14:paraId="123BBA62" w14:textId="77777777" w:rsidTr="00603D12">
        <w:tc>
          <w:tcPr>
            <w:tcW w:w="5125" w:type="dxa"/>
            <w:shd w:val="clear" w:color="auto" w:fill="FBD4B4" w:themeFill="accent6" w:themeFillTint="66"/>
          </w:tcPr>
          <w:p w14:paraId="057FE491" w14:textId="45DE2587" w:rsidR="00A77333" w:rsidRDefault="00A77333">
            <w:r>
              <w:t>TOTALS</w:t>
            </w:r>
          </w:p>
        </w:tc>
        <w:tc>
          <w:tcPr>
            <w:tcW w:w="1440" w:type="dxa"/>
            <w:shd w:val="clear" w:color="auto" w:fill="FBD4B4" w:themeFill="accent6" w:themeFillTint="66"/>
          </w:tcPr>
          <w:p w14:paraId="6B6D266D" w14:textId="02815994" w:rsidR="00A77333" w:rsidRDefault="00A77333">
            <w:r>
              <w:t>38</w:t>
            </w:r>
          </w:p>
        </w:tc>
      </w:tr>
      <w:tr w:rsidR="00A77333" w14:paraId="4901DDBC" w14:textId="77777777" w:rsidTr="00603D12">
        <w:tc>
          <w:tcPr>
            <w:tcW w:w="5125" w:type="dxa"/>
            <w:shd w:val="clear" w:color="auto" w:fill="FBD4B4" w:themeFill="accent6" w:themeFillTint="66"/>
          </w:tcPr>
          <w:p w14:paraId="561843FA" w14:textId="75991778" w:rsidR="00A77333" w:rsidRDefault="00A77333">
            <w:r>
              <w:t>GOAL</w:t>
            </w:r>
          </w:p>
        </w:tc>
        <w:tc>
          <w:tcPr>
            <w:tcW w:w="1440" w:type="dxa"/>
            <w:shd w:val="clear" w:color="auto" w:fill="FBD4B4" w:themeFill="accent6" w:themeFillTint="66"/>
          </w:tcPr>
          <w:p w14:paraId="75CD992C" w14:textId="6CD353A6" w:rsidR="00A77333" w:rsidRDefault="00A77333">
            <w:r>
              <w:t>23</w:t>
            </w:r>
          </w:p>
        </w:tc>
      </w:tr>
      <w:tr w:rsidR="00A77333" w14:paraId="5EB40AF2" w14:textId="77777777" w:rsidTr="00603D12">
        <w:tc>
          <w:tcPr>
            <w:tcW w:w="5125" w:type="dxa"/>
            <w:shd w:val="clear" w:color="auto" w:fill="FBD4B4" w:themeFill="accent6" w:themeFillTint="66"/>
          </w:tcPr>
          <w:p w14:paraId="15453760" w14:textId="2F9547C2" w:rsidR="00A77333" w:rsidRDefault="00A77333"/>
        </w:tc>
        <w:tc>
          <w:tcPr>
            <w:tcW w:w="1440" w:type="dxa"/>
            <w:shd w:val="clear" w:color="auto" w:fill="FBD4B4" w:themeFill="accent6" w:themeFillTint="66"/>
          </w:tcPr>
          <w:p w14:paraId="532D8D11" w14:textId="0346DDA0" w:rsidR="00A77333" w:rsidRDefault="00A77333"/>
        </w:tc>
      </w:tr>
    </w:tbl>
    <w:p w14:paraId="70E61961" w14:textId="3076B3B9" w:rsidR="007C13C9" w:rsidRDefault="007C13C9"/>
    <w:p w14:paraId="46CD8A84" w14:textId="5913B649" w:rsidR="00603D12" w:rsidRDefault="00603D12" w:rsidP="00796318">
      <w:r>
        <w:t xml:space="preserve">Career Connections monitors current enrollment of the department. These numbers fluctuate throughout the year as people have cases closed after attaining their job goals.  Average enrollment increased from </w:t>
      </w:r>
      <w:r w:rsidR="00A77333">
        <w:t>47</w:t>
      </w:r>
      <w:r>
        <w:t xml:space="preserve"> </w:t>
      </w:r>
      <w:proofErr w:type="gramStart"/>
      <w:r>
        <w:t>at</w:t>
      </w:r>
      <w:proofErr w:type="gramEnd"/>
      <w:r>
        <w:t xml:space="preserve"> June to </w:t>
      </w:r>
      <w:r w:rsidR="00A77333">
        <w:t>52</w:t>
      </w:r>
      <w:r>
        <w:t xml:space="preserve"> at the end of the fiscal year. </w:t>
      </w:r>
      <w:r w:rsidR="00A77333">
        <w:t>This also continues to trend up from 38 at end of fiscal year 2023.</w:t>
      </w:r>
    </w:p>
    <w:p w14:paraId="54D99D91" w14:textId="43B80D55" w:rsidR="00AE767D" w:rsidRDefault="00AE767D" w:rsidP="00796318">
      <w:r>
        <w:t>Goals were exceeded in all areas</w:t>
      </w:r>
      <w:r w:rsidR="00B77658">
        <w:t xml:space="preserve"> </w:t>
      </w:r>
      <w:proofErr w:type="gramStart"/>
      <w:r w:rsidR="00B77658">
        <w:t>in spite of</w:t>
      </w:r>
      <w:proofErr w:type="gramEnd"/>
      <w:r w:rsidR="00B77658">
        <w:t xml:space="preserve"> the </w:t>
      </w:r>
      <w:r w:rsidR="00584F27">
        <w:t xml:space="preserve">ongoing </w:t>
      </w:r>
      <w:r w:rsidR="00101C9E">
        <w:t>staffing shortages</w:t>
      </w:r>
      <w:r>
        <w:t xml:space="preserve">   </w:t>
      </w:r>
      <w:r w:rsidR="00B77658">
        <w:t>This continues to reflect a need for services</w:t>
      </w:r>
      <w:r w:rsidR="00BB0676">
        <w:t xml:space="preserve">. </w:t>
      </w:r>
      <w:r w:rsidR="00584F27">
        <w:t xml:space="preserve">Most of the supported living admissions have come from persons who </w:t>
      </w:r>
      <w:proofErr w:type="gramStart"/>
      <w:r w:rsidR="00584F27">
        <w:t>are coming</w:t>
      </w:r>
      <w:proofErr w:type="gramEnd"/>
      <w:r w:rsidR="00584F27">
        <w:t xml:space="preserve"> with family members</w:t>
      </w:r>
      <w:r w:rsidR="00101C9E">
        <w:t xml:space="preserve"> or friends</w:t>
      </w:r>
      <w:r w:rsidR="00584F27">
        <w:t xml:space="preserve"> who want to work with them. </w:t>
      </w:r>
      <w:r w:rsidR="00B77658">
        <w:t xml:space="preserve">  </w:t>
      </w:r>
      <w:r w:rsidR="00A77333">
        <w:t xml:space="preserve">Day service admissions were lower this </w:t>
      </w:r>
      <w:r w:rsidR="00A77333">
        <w:lastRenderedPageBreak/>
        <w:t>year due to the transition of the sheltered work program.  We slowed admissions deliberately as services transitioned.</w:t>
      </w:r>
    </w:p>
    <w:p w14:paraId="0D59D5F7" w14:textId="593E6897" w:rsidR="00AE767D" w:rsidRDefault="00AE767D" w:rsidP="00796318">
      <w:r>
        <w:t>For referrals that did not translate into admissions:</w:t>
      </w:r>
    </w:p>
    <w:p w14:paraId="021D7D23" w14:textId="233FC446" w:rsidR="00A77333" w:rsidRDefault="00AE767D" w:rsidP="00A77333">
      <w:pPr>
        <w:pStyle w:val="ListParagraph"/>
        <w:numPr>
          <w:ilvl w:val="0"/>
          <w:numId w:val="10"/>
        </w:numPr>
      </w:pPr>
      <w:r>
        <w:t>Day Service</w:t>
      </w:r>
      <w:r w:rsidR="00A77333">
        <w:t xml:space="preserve"> </w:t>
      </w:r>
      <w:r>
        <w:t>did not work out either due to poor match for the program, behavioral or physical care needs exceeded our ability or that the person decided not to start services</w:t>
      </w:r>
      <w:r w:rsidR="00BB0676">
        <w:t xml:space="preserve">. </w:t>
      </w:r>
      <w:r w:rsidR="00A77333">
        <w:t xml:space="preserve">We did slow admissions into program during transition period.   </w:t>
      </w:r>
    </w:p>
    <w:p w14:paraId="4BE25BD7" w14:textId="282AFA87" w:rsidR="00AE767D" w:rsidRDefault="00AE767D" w:rsidP="00796318">
      <w:pPr>
        <w:pStyle w:val="ListParagraph"/>
        <w:numPr>
          <w:ilvl w:val="0"/>
          <w:numId w:val="10"/>
        </w:numPr>
      </w:pPr>
      <w:r>
        <w:t>Supported Living Referrals did not work out due to inability to find staff matches</w:t>
      </w:r>
      <w:r w:rsidR="00BB0676">
        <w:t xml:space="preserve">. </w:t>
      </w:r>
      <w:r w:rsidR="00B77658">
        <w:t xml:space="preserve">Low unemployment rates continue to impact the ability to expand residential </w:t>
      </w:r>
      <w:proofErr w:type="gramStart"/>
      <w:r w:rsidR="00B77658">
        <w:t>sites in particular</w:t>
      </w:r>
      <w:proofErr w:type="gramEnd"/>
      <w:r w:rsidR="00BB0676">
        <w:t xml:space="preserve">. </w:t>
      </w:r>
    </w:p>
    <w:p w14:paraId="0CB2A5DF" w14:textId="35A40914" w:rsidR="00820DFA" w:rsidRDefault="00820DFA" w:rsidP="00820DFA">
      <w:pPr>
        <w:rPr>
          <w:b/>
        </w:rPr>
      </w:pPr>
      <w:r>
        <w:rPr>
          <w:b/>
        </w:rPr>
        <w:t xml:space="preserve">Increase total number of persons served from </w:t>
      </w:r>
      <w:r w:rsidR="00A77333">
        <w:rPr>
          <w:b/>
        </w:rPr>
        <w:t>334</w:t>
      </w:r>
      <w:r>
        <w:rPr>
          <w:b/>
        </w:rPr>
        <w:t xml:space="preserve"> to 3</w:t>
      </w:r>
      <w:r w:rsidR="00A77333">
        <w:rPr>
          <w:b/>
        </w:rPr>
        <w:t>40</w:t>
      </w:r>
      <w:r>
        <w:rPr>
          <w:b/>
        </w:rPr>
        <w:t xml:space="preserve"> – ending persons served = </w:t>
      </w:r>
      <w:r w:rsidR="00A77333">
        <w:rPr>
          <w:b/>
        </w:rPr>
        <w:t>329</w:t>
      </w:r>
      <w:r w:rsidR="00101C9E">
        <w:rPr>
          <w:b/>
        </w:rPr>
        <w:tab/>
      </w:r>
      <w:r w:rsidR="00AA6DFC">
        <w:rPr>
          <w:b/>
        </w:rPr>
        <w:t xml:space="preserve"> (Demographics and Efficiency)</w:t>
      </w:r>
    </w:p>
    <w:p w14:paraId="183DF8BA" w14:textId="41CB4346" w:rsidR="00E822B0" w:rsidRDefault="00820DFA" w:rsidP="00796318">
      <w:r>
        <w:t>This metric was</w:t>
      </w:r>
      <w:r w:rsidR="00A77333">
        <w:t xml:space="preserve"> not met</w:t>
      </w:r>
      <w:r w:rsidR="00BB0676">
        <w:t xml:space="preserve">. </w:t>
      </w:r>
      <w:r w:rsidR="006601EC">
        <w:t xml:space="preserve">Ongoing challenges with hiring staff </w:t>
      </w:r>
      <w:proofErr w:type="gramStart"/>
      <w:r w:rsidR="006601EC">
        <w:t>has</w:t>
      </w:r>
      <w:proofErr w:type="gramEnd"/>
      <w:r w:rsidR="006601EC">
        <w:t xml:space="preserve"> dramatically slowed ability to expand services</w:t>
      </w:r>
      <w:r w:rsidR="00A77333">
        <w:t xml:space="preserve">.  This is reflected in a decrease in </w:t>
      </w:r>
      <w:proofErr w:type="gramStart"/>
      <w:r w:rsidR="00A77333">
        <w:t>Pre-ETS</w:t>
      </w:r>
      <w:proofErr w:type="gramEnd"/>
      <w:r w:rsidR="00A77333">
        <w:t xml:space="preserve"> of 22 students due to changes in contract.   Core persons served increased slightly from 227 to 234.</w:t>
      </w:r>
    </w:p>
    <w:p w14:paraId="5374A22A" w14:textId="5FA53FD0" w:rsidR="00896452" w:rsidRDefault="00896452">
      <w:pPr>
        <w:rPr>
          <w:b/>
        </w:rPr>
      </w:pPr>
      <w:r>
        <w:rPr>
          <w:b/>
        </w:rPr>
        <w:t>Satisfaction Surveys – go</w:t>
      </w:r>
      <w:r w:rsidR="00D04409">
        <w:rPr>
          <w:b/>
        </w:rPr>
        <w:t>al 9</w:t>
      </w:r>
      <w:r w:rsidR="00AA6DFC">
        <w:rPr>
          <w:b/>
        </w:rPr>
        <w:t>5</w:t>
      </w:r>
      <w:r w:rsidR="00D04409">
        <w:rPr>
          <w:b/>
        </w:rPr>
        <w:t xml:space="preserve">% satisfaction, achieved </w:t>
      </w:r>
      <w:r w:rsidR="00A77333">
        <w:rPr>
          <w:b/>
        </w:rPr>
        <w:t>97.98</w:t>
      </w:r>
      <w:r>
        <w:rPr>
          <w:b/>
        </w:rPr>
        <w:t>%</w:t>
      </w:r>
    </w:p>
    <w:tbl>
      <w:tblPr>
        <w:tblStyle w:val="TableGrid"/>
        <w:tblW w:w="0" w:type="auto"/>
        <w:tblLook w:val="04A0" w:firstRow="1" w:lastRow="0" w:firstColumn="1" w:lastColumn="0" w:noHBand="0" w:noVBand="1"/>
      </w:tblPr>
      <w:tblGrid>
        <w:gridCol w:w="5125"/>
        <w:gridCol w:w="1350"/>
      </w:tblGrid>
      <w:tr w:rsidR="002618E8" w:rsidRPr="00AE767D" w14:paraId="21A9B707" w14:textId="77777777" w:rsidTr="00FE26D1">
        <w:tc>
          <w:tcPr>
            <w:tcW w:w="5125" w:type="dxa"/>
            <w:shd w:val="clear" w:color="auto" w:fill="FBD4B4" w:themeFill="accent6" w:themeFillTint="66"/>
          </w:tcPr>
          <w:p w14:paraId="1593D6CB" w14:textId="1ADAFB3B" w:rsidR="002618E8" w:rsidRPr="00AE767D" w:rsidRDefault="00FE26D1" w:rsidP="007E2BBD">
            <w:r>
              <w:t>Persons Supported</w:t>
            </w:r>
          </w:p>
        </w:tc>
        <w:tc>
          <w:tcPr>
            <w:tcW w:w="1350" w:type="dxa"/>
            <w:shd w:val="clear" w:color="auto" w:fill="FBD4B4" w:themeFill="accent6" w:themeFillTint="66"/>
          </w:tcPr>
          <w:p w14:paraId="63A3E589" w14:textId="77777777" w:rsidR="002618E8" w:rsidRPr="00AE767D" w:rsidRDefault="002618E8" w:rsidP="007E2BBD">
            <w:r>
              <w:t>Percent Satisfied</w:t>
            </w:r>
          </w:p>
        </w:tc>
      </w:tr>
      <w:tr w:rsidR="002618E8" w14:paraId="627B3B31" w14:textId="77777777" w:rsidTr="002618E8">
        <w:tc>
          <w:tcPr>
            <w:tcW w:w="5125" w:type="dxa"/>
          </w:tcPr>
          <w:p w14:paraId="06DF3D7F" w14:textId="77777777" w:rsidR="002618E8" w:rsidRDefault="002618E8" w:rsidP="007E2BBD">
            <w:r>
              <w:t>Career Connections</w:t>
            </w:r>
          </w:p>
        </w:tc>
        <w:tc>
          <w:tcPr>
            <w:tcW w:w="1350" w:type="dxa"/>
          </w:tcPr>
          <w:p w14:paraId="3D46DC39" w14:textId="50916FEB" w:rsidR="00A77333" w:rsidRDefault="00A77333" w:rsidP="007E2BBD">
            <w:r>
              <w:t>95%</w:t>
            </w:r>
          </w:p>
        </w:tc>
      </w:tr>
      <w:tr w:rsidR="002618E8" w14:paraId="60F1E48B" w14:textId="77777777" w:rsidTr="002618E8">
        <w:tc>
          <w:tcPr>
            <w:tcW w:w="5125" w:type="dxa"/>
          </w:tcPr>
          <w:p w14:paraId="2C9AA164" w14:textId="77777777" w:rsidR="002618E8" w:rsidRDefault="002618E8" w:rsidP="007E2BBD">
            <w:r>
              <w:t>Day Services</w:t>
            </w:r>
          </w:p>
        </w:tc>
        <w:tc>
          <w:tcPr>
            <w:tcW w:w="1350" w:type="dxa"/>
          </w:tcPr>
          <w:p w14:paraId="432E43F5" w14:textId="4DFA2879" w:rsidR="002618E8" w:rsidRDefault="002618E8" w:rsidP="007E2BBD">
            <w:r>
              <w:t>9</w:t>
            </w:r>
            <w:r w:rsidR="00D52D72">
              <w:t>5.</w:t>
            </w:r>
            <w:r w:rsidR="00A77333">
              <w:t>8</w:t>
            </w:r>
            <w:r>
              <w:t>%</w:t>
            </w:r>
          </w:p>
        </w:tc>
      </w:tr>
      <w:tr w:rsidR="002618E8" w14:paraId="1B79258C" w14:textId="77777777" w:rsidTr="002618E8">
        <w:tc>
          <w:tcPr>
            <w:tcW w:w="5125" w:type="dxa"/>
          </w:tcPr>
          <w:p w14:paraId="1D7579CF" w14:textId="77777777" w:rsidR="002618E8" w:rsidRDefault="002618E8" w:rsidP="007E2BBD">
            <w:r>
              <w:t>Supported Living/Respite</w:t>
            </w:r>
          </w:p>
        </w:tc>
        <w:tc>
          <w:tcPr>
            <w:tcW w:w="1350" w:type="dxa"/>
          </w:tcPr>
          <w:p w14:paraId="3ECEB817" w14:textId="0CD50286" w:rsidR="002618E8" w:rsidRDefault="00FE26D1" w:rsidP="007E2BBD">
            <w:r>
              <w:t>9</w:t>
            </w:r>
            <w:r w:rsidR="00A77333">
              <w:t>9.7</w:t>
            </w:r>
            <w:r w:rsidR="002618E8">
              <w:t>%</w:t>
            </w:r>
          </w:p>
        </w:tc>
      </w:tr>
      <w:tr w:rsidR="002618E8" w14:paraId="6C65A439" w14:textId="77777777" w:rsidTr="00FE26D1">
        <w:tc>
          <w:tcPr>
            <w:tcW w:w="5125" w:type="dxa"/>
            <w:shd w:val="clear" w:color="auto" w:fill="FBD4B4" w:themeFill="accent6" w:themeFillTint="66"/>
          </w:tcPr>
          <w:p w14:paraId="11A22183" w14:textId="77777777" w:rsidR="002618E8" w:rsidRDefault="002618E8" w:rsidP="007E2BBD">
            <w:r>
              <w:t>TOTALS</w:t>
            </w:r>
          </w:p>
        </w:tc>
        <w:tc>
          <w:tcPr>
            <w:tcW w:w="1350" w:type="dxa"/>
            <w:shd w:val="clear" w:color="auto" w:fill="FBD4B4" w:themeFill="accent6" w:themeFillTint="66"/>
          </w:tcPr>
          <w:p w14:paraId="13EC542B" w14:textId="160E110B" w:rsidR="002618E8" w:rsidRDefault="00A77333" w:rsidP="007E2BBD">
            <w:r>
              <w:t>97.89</w:t>
            </w:r>
          </w:p>
        </w:tc>
      </w:tr>
      <w:tr w:rsidR="002618E8" w14:paraId="158293C8" w14:textId="77777777" w:rsidTr="00FE26D1">
        <w:tc>
          <w:tcPr>
            <w:tcW w:w="5125" w:type="dxa"/>
            <w:shd w:val="clear" w:color="auto" w:fill="FBD4B4" w:themeFill="accent6" w:themeFillTint="66"/>
          </w:tcPr>
          <w:p w14:paraId="125A1E2A" w14:textId="77777777" w:rsidR="002618E8" w:rsidRDefault="002618E8" w:rsidP="007E2BBD">
            <w:r>
              <w:t>GOAL</w:t>
            </w:r>
          </w:p>
        </w:tc>
        <w:tc>
          <w:tcPr>
            <w:tcW w:w="1350" w:type="dxa"/>
            <w:shd w:val="clear" w:color="auto" w:fill="FBD4B4" w:themeFill="accent6" w:themeFillTint="66"/>
          </w:tcPr>
          <w:p w14:paraId="2643E3B0" w14:textId="3D0792E7" w:rsidR="002618E8" w:rsidRDefault="002618E8" w:rsidP="007E2BBD">
            <w:r>
              <w:t>9</w:t>
            </w:r>
            <w:r w:rsidR="00FE26D1">
              <w:t>5</w:t>
            </w:r>
            <w:r>
              <w:t>%</w:t>
            </w:r>
          </w:p>
        </w:tc>
      </w:tr>
      <w:tr w:rsidR="00AA6DFC" w:rsidRPr="00AE767D" w14:paraId="47512B25" w14:textId="77777777" w:rsidTr="00AA6DFC">
        <w:tc>
          <w:tcPr>
            <w:tcW w:w="5125" w:type="dxa"/>
            <w:shd w:val="clear" w:color="auto" w:fill="FBD4B4" w:themeFill="accent6" w:themeFillTint="66"/>
          </w:tcPr>
          <w:p w14:paraId="0E5D65AC" w14:textId="6BB81CC6" w:rsidR="00AA6DFC" w:rsidRPr="00AE767D" w:rsidRDefault="002618E8" w:rsidP="00AA6DFC">
            <w:r>
              <w:t>Stakeholders</w:t>
            </w:r>
          </w:p>
        </w:tc>
        <w:tc>
          <w:tcPr>
            <w:tcW w:w="1350" w:type="dxa"/>
            <w:shd w:val="clear" w:color="auto" w:fill="FBD4B4" w:themeFill="accent6" w:themeFillTint="66"/>
          </w:tcPr>
          <w:p w14:paraId="301240EA" w14:textId="731C2652" w:rsidR="00AA6DFC" w:rsidRPr="00AE767D" w:rsidRDefault="00AA6DFC" w:rsidP="00AA6DFC">
            <w:r>
              <w:t>Percent Satisfied</w:t>
            </w:r>
          </w:p>
        </w:tc>
      </w:tr>
      <w:tr w:rsidR="00AA6DFC" w14:paraId="2E48DAA7" w14:textId="77777777" w:rsidTr="00AA6DFC">
        <w:tc>
          <w:tcPr>
            <w:tcW w:w="5125" w:type="dxa"/>
          </w:tcPr>
          <w:p w14:paraId="0FF117FD" w14:textId="77777777" w:rsidR="00AA6DFC" w:rsidRDefault="00AA6DFC" w:rsidP="00AA6DFC">
            <w:r>
              <w:t>Career Connections</w:t>
            </w:r>
          </w:p>
        </w:tc>
        <w:tc>
          <w:tcPr>
            <w:tcW w:w="1350" w:type="dxa"/>
          </w:tcPr>
          <w:p w14:paraId="2F320DD1" w14:textId="58FD1830" w:rsidR="00E90E83" w:rsidRDefault="00C96C6C" w:rsidP="00AA6DFC">
            <w:r>
              <w:t>84</w:t>
            </w:r>
            <w:r w:rsidR="00E90E83">
              <w:t>%</w:t>
            </w:r>
          </w:p>
        </w:tc>
      </w:tr>
      <w:tr w:rsidR="00AA6DFC" w14:paraId="30A0880E" w14:textId="77777777" w:rsidTr="00AA6DFC">
        <w:tc>
          <w:tcPr>
            <w:tcW w:w="5125" w:type="dxa"/>
          </w:tcPr>
          <w:p w14:paraId="3BF8F656" w14:textId="74BF2D7E" w:rsidR="00AA6DFC" w:rsidRDefault="00AA6DFC" w:rsidP="00AA6DFC">
            <w:r>
              <w:t>Day Services</w:t>
            </w:r>
          </w:p>
        </w:tc>
        <w:tc>
          <w:tcPr>
            <w:tcW w:w="1350" w:type="dxa"/>
          </w:tcPr>
          <w:p w14:paraId="590F0786" w14:textId="4A02C1BD" w:rsidR="00AA6DFC" w:rsidRDefault="00C96C6C" w:rsidP="00AA6DFC">
            <w:r>
              <w:t>84</w:t>
            </w:r>
            <w:r w:rsidR="00E90E83">
              <w:t>%</w:t>
            </w:r>
          </w:p>
        </w:tc>
      </w:tr>
      <w:tr w:rsidR="00AA6DFC" w14:paraId="0CBCD632" w14:textId="77777777" w:rsidTr="00AA6DFC">
        <w:tc>
          <w:tcPr>
            <w:tcW w:w="5125" w:type="dxa"/>
          </w:tcPr>
          <w:p w14:paraId="652869B7" w14:textId="65413D12" w:rsidR="00AA6DFC" w:rsidRDefault="00AA6DFC" w:rsidP="00AA6DFC">
            <w:r>
              <w:t>Work Services</w:t>
            </w:r>
          </w:p>
        </w:tc>
        <w:tc>
          <w:tcPr>
            <w:tcW w:w="1350" w:type="dxa"/>
          </w:tcPr>
          <w:p w14:paraId="5A6C6DCA" w14:textId="3B49E159" w:rsidR="00AA6DFC" w:rsidRDefault="00C96C6C" w:rsidP="00AA6DFC">
            <w:r>
              <w:t>84</w:t>
            </w:r>
            <w:r w:rsidR="00AA6DFC">
              <w:t>%</w:t>
            </w:r>
          </w:p>
        </w:tc>
      </w:tr>
      <w:tr w:rsidR="00AA6DFC" w14:paraId="0CB34A8A" w14:textId="77777777" w:rsidTr="00AA6DFC">
        <w:tc>
          <w:tcPr>
            <w:tcW w:w="5125" w:type="dxa"/>
          </w:tcPr>
          <w:p w14:paraId="19905BE7" w14:textId="77777777" w:rsidR="00AA6DFC" w:rsidRDefault="00AA6DFC" w:rsidP="00AA6DFC">
            <w:r>
              <w:t>Supported Living/Respite</w:t>
            </w:r>
          </w:p>
        </w:tc>
        <w:tc>
          <w:tcPr>
            <w:tcW w:w="1350" w:type="dxa"/>
          </w:tcPr>
          <w:p w14:paraId="52226616" w14:textId="43D8EBAC" w:rsidR="00E90E83" w:rsidRDefault="00C96C6C" w:rsidP="00AA6DFC">
            <w:r>
              <w:t>84</w:t>
            </w:r>
            <w:r w:rsidR="00E90E83">
              <w:t>%</w:t>
            </w:r>
          </w:p>
        </w:tc>
      </w:tr>
      <w:tr w:rsidR="00AA6DFC" w14:paraId="320D9433" w14:textId="77777777" w:rsidTr="00AA6DFC">
        <w:tc>
          <w:tcPr>
            <w:tcW w:w="5125" w:type="dxa"/>
            <w:shd w:val="clear" w:color="auto" w:fill="FBD4B4" w:themeFill="accent6" w:themeFillTint="66"/>
          </w:tcPr>
          <w:p w14:paraId="553F3CDD" w14:textId="77777777" w:rsidR="00AA6DFC" w:rsidRDefault="00AA6DFC" w:rsidP="00AA6DFC">
            <w:r>
              <w:t>TOTALS</w:t>
            </w:r>
          </w:p>
        </w:tc>
        <w:tc>
          <w:tcPr>
            <w:tcW w:w="1350" w:type="dxa"/>
            <w:shd w:val="clear" w:color="auto" w:fill="FBD4B4" w:themeFill="accent6" w:themeFillTint="66"/>
          </w:tcPr>
          <w:p w14:paraId="760ED4FB" w14:textId="19EFAC9E" w:rsidR="00AA6DFC" w:rsidRDefault="002618E8" w:rsidP="00AA6DFC">
            <w:r>
              <w:t>91%</w:t>
            </w:r>
          </w:p>
        </w:tc>
      </w:tr>
      <w:tr w:rsidR="00AA6DFC" w14:paraId="48EF00BD" w14:textId="77777777" w:rsidTr="00AA6DFC">
        <w:tc>
          <w:tcPr>
            <w:tcW w:w="5125" w:type="dxa"/>
            <w:shd w:val="clear" w:color="auto" w:fill="FBD4B4" w:themeFill="accent6" w:themeFillTint="66"/>
          </w:tcPr>
          <w:p w14:paraId="4DFB3B79" w14:textId="77777777" w:rsidR="00AA6DFC" w:rsidRDefault="00AA6DFC" w:rsidP="00AA6DFC">
            <w:r>
              <w:t>GOAL</w:t>
            </w:r>
          </w:p>
        </w:tc>
        <w:tc>
          <w:tcPr>
            <w:tcW w:w="1350" w:type="dxa"/>
            <w:shd w:val="clear" w:color="auto" w:fill="FBD4B4" w:themeFill="accent6" w:themeFillTint="66"/>
          </w:tcPr>
          <w:p w14:paraId="3A256DB8" w14:textId="223829D6" w:rsidR="00AA6DFC" w:rsidRDefault="002618E8" w:rsidP="00AA6DFC">
            <w:r>
              <w:t>90%</w:t>
            </w:r>
          </w:p>
        </w:tc>
      </w:tr>
    </w:tbl>
    <w:p w14:paraId="17F09BC9" w14:textId="77777777" w:rsidR="00AA6DFC" w:rsidRDefault="00AA6DFC" w:rsidP="00896452">
      <w:pPr>
        <w:ind w:left="720"/>
      </w:pPr>
    </w:p>
    <w:p w14:paraId="736EC7CC" w14:textId="77777777" w:rsidR="00C96C6C" w:rsidRDefault="00896452" w:rsidP="00796318">
      <w:r>
        <w:t xml:space="preserve">Responses to satisfaction surveys continue to be </w:t>
      </w:r>
      <w:r w:rsidR="002618E8">
        <w:t xml:space="preserve">positive overall. </w:t>
      </w:r>
    </w:p>
    <w:p w14:paraId="28C92ECA" w14:textId="3971C4F6" w:rsidR="00896452" w:rsidRDefault="002618E8" w:rsidP="00796318">
      <w:r>
        <w:t>The stakeholders who do not report being satisfied have specific issues which are being addressed by management staff</w:t>
      </w:r>
      <w:r w:rsidR="00BB0676">
        <w:t xml:space="preserve">. </w:t>
      </w:r>
      <w:r w:rsidR="00C96C6C">
        <w:t xml:space="preserve">Note that stakeholders overlapped all departments this year.   Much of the stakeholder feedback this year was due to changes away from sheltered work, as people are working fewer hours.  </w:t>
      </w:r>
      <w:r w:rsidR="00896452">
        <w:t>Suggestions and concerns are addressed as they arise</w:t>
      </w:r>
      <w:r w:rsidR="00BB0676">
        <w:t xml:space="preserve">. </w:t>
      </w:r>
    </w:p>
    <w:p w14:paraId="222D9B31" w14:textId="5C9DE43D" w:rsidR="00270458" w:rsidRDefault="00E90E83" w:rsidP="00C96C6C">
      <w:r>
        <w:lastRenderedPageBreak/>
        <w:t xml:space="preserve">Continued refinement of satisfaction surveys and responses continue.  There continues to be variation in what feedback is obtained and how it is obtained.   </w:t>
      </w:r>
      <w:r w:rsidR="00523871">
        <w:t>Satisfaction i</w:t>
      </w:r>
      <w:r w:rsidR="00E822B0">
        <w:t>s</w:t>
      </w:r>
      <w:r w:rsidR="00523871">
        <w:t xml:space="preserve"> </w:t>
      </w:r>
      <w:proofErr w:type="gramStart"/>
      <w:r w:rsidR="00523871">
        <w:t>supported</w:t>
      </w:r>
      <w:proofErr w:type="gramEnd"/>
      <w:r w:rsidR="00523871">
        <w:t xml:space="preserve"> living and respite is obtained through asking individuals if they are satisfied in quarterly meetings</w:t>
      </w:r>
      <w:r w:rsidR="00BB0676">
        <w:t xml:space="preserve">. </w:t>
      </w:r>
    </w:p>
    <w:p w14:paraId="6C6BFF42" w14:textId="6CF17CC3" w:rsidR="00896452" w:rsidRDefault="00896452" w:rsidP="00796318">
      <w:r>
        <w:t xml:space="preserve">Employee satisfaction is also measured at least </w:t>
      </w:r>
      <w:r w:rsidR="00AA6DFC">
        <w:t xml:space="preserve">annually. </w:t>
      </w:r>
      <w:r>
        <w:t>There is a committee of employees who monitor employee issues and help with developing initiatives to further build employee satisfaction</w:t>
      </w:r>
      <w:r w:rsidR="00BB0676">
        <w:t xml:space="preserve">. </w:t>
      </w:r>
      <w:r w:rsidR="009A1CAF">
        <w:t>In response to the most recent employee surveys, efforts have been initiated to build additional communication methods with staff who are spread across a wide variety of locations and plans are in process to initiate additional processes including</w:t>
      </w:r>
      <w:proofErr w:type="gramStart"/>
      <w:r w:rsidR="009A1CAF">
        <w:t>:  more</w:t>
      </w:r>
      <w:proofErr w:type="gramEnd"/>
      <w:r w:rsidR="009A1CAF">
        <w:t xml:space="preserve"> frequent agency updates</w:t>
      </w:r>
      <w:r w:rsidR="00270458">
        <w:t xml:space="preserve">, </w:t>
      </w:r>
      <w:r w:rsidR="00C96C6C">
        <w:t>employee engagement activities</w:t>
      </w:r>
      <w:r w:rsidR="009A1CAF">
        <w:t>, encouragement of promotion of ideas, and leadership development processes</w:t>
      </w:r>
      <w:r w:rsidR="00BB0676">
        <w:t xml:space="preserve">. </w:t>
      </w:r>
      <w:r w:rsidR="00523871">
        <w:t>These efforts are continued</w:t>
      </w:r>
      <w:r w:rsidR="00BB0676">
        <w:t xml:space="preserve">. </w:t>
      </w:r>
      <w:r w:rsidR="00F44D5D">
        <w:t xml:space="preserve">Annual recognition at Direct Support Professional Week Occurs, Quarterly Employee recognition is made, Values Champions </w:t>
      </w:r>
      <w:proofErr w:type="gramStart"/>
      <w:r w:rsidR="00F44D5D">
        <w:t>continues</w:t>
      </w:r>
      <w:proofErr w:type="gramEnd"/>
      <w:r w:rsidR="00F44D5D">
        <w:t xml:space="preserve"> and Thankful Thursday lunches occur each month.</w:t>
      </w:r>
      <w:r w:rsidR="00E90E83">
        <w:t xml:space="preserve">  Additional methods of engaging employees will continue.  </w:t>
      </w:r>
    </w:p>
    <w:p w14:paraId="55D9AFC4" w14:textId="35C1244D" w:rsidR="009A1CAF" w:rsidRPr="00896452" w:rsidRDefault="009A1CAF" w:rsidP="00796318">
      <w:r>
        <w:t>Satisfaction survey goals will continue</w:t>
      </w:r>
      <w:r w:rsidR="009C0243">
        <w:t xml:space="preserve"> with target of 95%</w:t>
      </w:r>
      <w:r w:rsidR="00E822B0">
        <w:t xml:space="preserve"> for persons served and 90% for stakeholders</w:t>
      </w:r>
      <w:r>
        <w:t>.</w:t>
      </w:r>
    </w:p>
    <w:p w14:paraId="1C499C2D" w14:textId="3DC93CD6" w:rsidR="007617C6" w:rsidRDefault="007617C6">
      <w:pPr>
        <w:rPr>
          <w:b/>
        </w:rPr>
      </w:pPr>
      <w:r>
        <w:rPr>
          <w:b/>
        </w:rPr>
        <w:t xml:space="preserve">Profit Margin/Budget Goal </w:t>
      </w:r>
      <w:proofErr w:type="gramStart"/>
      <w:r w:rsidR="000D3515">
        <w:rPr>
          <w:b/>
        </w:rPr>
        <w:t xml:space="preserve">– </w:t>
      </w:r>
      <w:r w:rsidR="00270458">
        <w:rPr>
          <w:b/>
        </w:rPr>
        <w:t xml:space="preserve"> </w:t>
      </w:r>
      <w:r w:rsidR="00E822B0">
        <w:rPr>
          <w:b/>
        </w:rPr>
        <w:t>achieved</w:t>
      </w:r>
      <w:proofErr w:type="gramEnd"/>
      <w:r w:rsidR="00796318">
        <w:rPr>
          <w:b/>
        </w:rPr>
        <w:t xml:space="preserve"> (Business Functions)</w:t>
      </w:r>
    </w:p>
    <w:p w14:paraId="02A015D0" w14:textId="13D94A8E" w:rsidR="00270458" w:rsidRDefault="007617C6" w:rsidP="00796318">
      <w:r>
        <w:t>The Arc of</w:t>
      </w:r>
      <w:r w:rsidR="009A1CAF">
        <w:t xml:space="preserve"> Greater Boone </w:t>
      </w:r>
      <w:r w:rsidR="00E822B0">
        <w:t xml:space="preserve">County </w:t>
      </w:r>
      <w:r w:rsidR="00F44D5D">
        <w:t>met its</w:t>
      </w:r>
      <w:r w:rsidR="00DE5794">
        <w:t xml:space="preserve"> financial goals for 202</w:t>
      </w:r>
      <w:r w:rsidR="00C96C6C">
        <w:t>5</w:t>
      </w:r>
      <w:r w:rsidR="00BB0676">
        <w:t xml:space="preserve">. </w:t>
      </w:r>
      <w:r w:rsidR="00270458">
        <w:t>Several factors have impacted performance in the past year:</w:t>
      </w:r>
    </w:p>
    <w:p w14:paraId="1A284B7D" w14:textId="10DACB42" w:rsidR="00063003" w:rsidRDefault="00DE5794" w:rsidP="00270458">
      <w:pPr>
        <w:pStyle w:val="ListParagraph"/>
        <w:numPr>
          <w:ilvl w:val="0"/>
          <w:numId w:val="14"/>
        </w:numPr>
      </w:pPr>
      <w:r>
        <w:t>Gains on investments</w:t>
      </w:r>
    </w:p>
    <w:p w14:paraId="5DA18BC6" w14:textId="00CBCD20" w:rsidR="00DE5794" w:rsidRDefault="00DE5794" w:rsidP="00DE5794">
      <w:pPr>
        <w:pStyle w:val="ListParagraph"/>
        <w:numPr>
          <w:ilvl w:val="0"/>
          <w:numId w:val="14"/>
        </w:numPr>
      </w:pPr>
      <w:r>
        <w:t>Grants</w:t>
      </w:r>
      <w:r w:rsidR="00CD2206">
        <w:t xml:space="preserve"> – Employment Transformation Grants and IPP Main Street Grant brought in significant passthrough revenue.   Additionally, </w:t>
      </w:r>
      <w:r w:rsidR="00C96C6C">
        <w:t>1</w:t>
      </w:r>
      <w:r w:rsidR="00CD2206">
        <w:t xml:space="preserve"> new van</w:t>
      </w:r>
      <w:r w:rsidR="00C96C6C">
        <w:t xml:space="preserve"> was</w:t>
      </w:r>
      <w:r w:rsidR="00CD2206">
        <w:t xml:space="preserve"> received.</w:t>
      </w:r>
    </w:p>
    <w:p w14:paraId="7D6CA3F9" w14:textId="43AC79EB" w:rsidR="00DE5794" w:rsidRDefault="00CD2206" w:rsidP="00DE5794">
      <w:pPr>
        <w:pStyle w:val="ListParagraph"/>
        <w:numPr>
          <w:ilvl w:val="0"/>
          <w:numId w:val="14"/>
        </w:numPr>
      </w:pPr>
      <w:r>
        <w:t>Increased Waiver Rates</w:t>
      </w:r>
    </w:p>
    <w:p w14:paraId="122A148E" w14:textId="4F2D8911" w:rsidR="00C96C6C" w:rsidRDefault="00C96C6C" w:rsidP="00DE5794">
      <w:pPr>
        <w:pStyle w:val="ListParagraph"/>
        <w:numPr>
          <w:ilvl w:val="0"/>
          <w:numId w:val="14"/>
        </w:numPr>
      </w:pPr>
      <w:r>
        <w:t>Changes in accounting of grants requirements also means that grants tied to calendar year are recognized at the beginning of the calendar year.  This change caused a temporary increase this year as we recognized United Way Dollars for 2025 from January through June.  This will align moving forward.</w:t>
      </w:r>
    </w:p>
    <w:p w14:paraId="6A05A809" w14:textId="5BA5F180" w:rsidR="00896E92" w:rsidRDefault="006455CB" w:rsidP="005414B0">
      <w:r>
        <w:t xml:space="preserve">The Board of Directors and Finance Committees have closely monitored </w:t>
      </w:r>
      <w:r w:rsidR="00896E92">
        <w:t>performance throughout the year</w:t>
      </w:r>
      <w:r w:rsidR="00BB0676">
        <w:t xml:space="preserve">. </w:t>
      </w:r>
    </w:p>
    <w:p w14:paraId="5DE5C27F" w14:textId="43ABA540" w:rsidR="005414B0" w:rsidRPr="005414B0" w:rsidRDefault="006455CB" w:rsidP="005414B0">
      <w:r>
        <w:t xml:space="preserve">The </w:t>
      </w:r>
      <w:r w:rsidR="009A1CAF">
        <w:t>FY202</w:t>
      </w:r>
      <w:r w:rsidR="00C96C6C">
        <w:t>6</w:t>
      </w:r>
      <w:r w:rsidR="00A54D27">
        <w:t xml:space="preserve"> approved budget </w:t>
      </w:r>
      <w:r w:rsidR="003C1831">
        <w:t xml:space="preserve">a modest margin </w:t>
      </w:r>
      <w:r w:rsidR="00BF482D">
        <w:t>prior to the application of depreciation</w:t>
      </w:r>
      <w:r w:rsidR="00CD2206">
        <w:t xml:space="preserve">.  </w:t>
      </w:r>
    </w:p>
    <w:p w14:paraId="0D310AB7" w14:textId="1D976AFE" w:rsidR="00BB0676" w:rsidRDefault="007617C6">
      <w:pPr>
        <w:rPr>
          <w:b/>
        </w:rPr>
      </w:pPr>
      <w:r>
        <w:rPr>
          <w:b/>
        </w:rPr>
        <w:t xml:space="preserve">Current Ratio – </w:t>
      </w:r>
      <w:r w:rsidR="00D8781D" w:rsidRPr="00BB0676">
        <w:rPr>
          <w:b/>
        </w:rPr>
        <w:t xml:space="preserve">goal 5, current is </w:t>
      </w:r>
      <w:r w:rsidR="00C96C6C">
        <w:rPr>
          <w:b/>
        </w:rPr>
        <w:t>18.22</w:t>
      </w:r>
    </w:p>
    <w:p w14:paraId="40C3396F" w14:textId="347E76BF" w:rsidR="00DE5794" w:rsidRDefault="007617C6" w:rsidP="000D2CC6">
      <w:r>
        <w:t>The current ratio of assets to liabilities</w:t>
      </w:r>
      <w:r w:rsidR="00EF03A6">
        <w:t xml:space="preserve"> </w:t>
      </w:r>
      <w:r w:rsidR="00CD2206">
        <w:t xml:space="preserve">has </w:t>
      </w:r>
      <w:r w:rsidR="00C96C6C">
        <w:t>continued to be high due to grant activities and returns on investments</w:t>
      </w:r>
      <w:r w:rsidR="00CD2206">
        <w:t>.</w:t>
      </w:r>
      <w:r w:rsidR="00DE5794">
        <w:t xml:space="preserve"> </w:t>
      </w:r>
    </w:p>
    <w:p w14:paraId="1836F376" w14:textId="7BBBD66E" w:rsidR="000D2CC6" w:rsidRDefault="00BB0676" w:rsidP="000D2CC6">
      <w:r>
        <w:t xml:space="preserve">The Arc of Greater Boone County </w:t>
      </w:r>
      <w:r w:rsidR="00DE5794">
        <w:t xml:space="preserve">follows its </w:t>
      </w:r>
      <w:proofErr w:type="gramStart"/>
      <w:r w:rsidR="00DE5794">
        <w:t>long term</w:t>
      </w:r>
      <w:proofErr w:type="gramEnd"/>
      <w:r w:rsidR="00DE5794">
        <w:t xml:space="preserve"> investment plan to allow for variances in the investment markets.</w:t>
      </w:r>
    </w:p>
    <w:p w14:paraId="004ECB32" w14:textId="08ABC3C8" w:rsidR="000D2CC6" w:rsidRDefault="000D2CC6" w:rsidP="000D2CC6">
      <w:r>
        <w:lastRenderedPageBreak/>
        <w:t>Other assets remain consistent and operating loans continue to carry $0 balances</w:t>
      </w:r>
      <w:r w:rsidR="00BB0676">
        <w:t>.</w:t>
      </w:r>
      <w:r w:rsidR="00DE5794">
        <w:t xml:space="preserve"> Outside of the EIDL</w:t>
      </w:r>
      <w:r w:rsidR="00C96C6C">
        <w:t xml:space="preserve"> (Small Business Administration Loan)</w:t>
      </w:r>
      <w:r w:rsidR="00DE5794">
        <w:t>, n</w:t>
      </w:r>
      <w:r w:rsidR="00926457">
        <w:t xml:space="preserve">o other mortgages or </w:t>
      </w:r>
      <w:proofErr w:type="gramStart"/>
      <w:r w:rsidR="00926457">
        <w:t>liens</w:t>
      </w:r>
      <w:proofErr w:type="gramEnd"/>
      <w:r w:rsidR="00926457">
        <w:t xml:space="preserve"> exist on any of the properties</w:t>
      </w:r>
      <w:r w:rsidR="00BB0676">
        <w:t xml:space="preserve">. </w:t>
      </w:r>
      <w:r w:rsidR="00CD2206">
        <w:t xml:space="preserve"> The EIDL interest rate continues to be lower than interest earned on investments.  </w:t>
      </w:r>
    </w:p>
    <w:p w14:paraId="733A2944" w14:textId="77777777" w:rsidR="007617C6" w:rsidRDefault="007617C6" w:rsidP="000D2CC6">
      <w:r>
        <w:t xml:space="preserve">Conservative and responsible financial management has allowed The Arc of Greater Boone County to maintain a strong financial position.  </w:t>
      </w:r>
    </w:p>
    <w:p w14:paraId="5FC74434" w14:textId="77777777" w:rsidR="00C37D56" w:rsidRPr="007617C6" w:rsidRDefault="00C37D56" w:rsidP="000D2CC6">
      <w:r>
        <w:t>Goal to continue.</w:t>
      </w:r>
    </w:p>
    <w:p w14:paraId="3C64A670" w14:textId="68B9EEDC" w:rsidR="00D5019A" w:rsidRDefault="00D8781D" w:rsidP="00D5019A">
      <w:pPr>
        <w:rPr>
          <w:b/>
        </w:rPr>
      </w:pPr>
      <w:r>
        <w:rPr>
          <w:b/>
        </w:rPr>
        <w:t xml:space="preserve">Turnover – goal </w:t>
      </w:r>
      <w:r w:rsidR="00DE5794">
        <w:rPr>
          <w:b/>
        </w:rPr>
        <w:t>3</w:t>
      </w:r>
      <w:r>
        <w:rPr>
          <w:b/>
        </w:rPr>
        <w:t xml:space="preserve">%, </w:t>
      </w:r>
      <w:r w:rsidR="001A1144">
        <w:rPr>
          <w:b/>
        </w:rPr>
        <w:t xml:space="preserve">not </w:t>
      </w:r>
      <w:r>
        <w:rPr>
          <w:b/>
        </w:rPr>
        <w:t xml:space="preserve">achieved </w:t>
      </w:r>
      <w:r w:rsidR="00C96C6C">
        <w:rPr>
          <w:b/>
        </w:rPr>
        <w:t>3</w:t>
      </w:r>
      <w:r w:rsidR="00A54D27">
        <w:rPr>
          <w:b/>
        </w:rPr>
        <w:t>%</w:t>
      </w:r>
      <w:r w:rsidR="00EF03A6">
        <w:rPr>
          <w:b/>
        </w:rPr>
        <w:t xml:space="preserve"> average</w:t>
      </w:r>
      <w:r w:rsidR="00435291">
        <w:rPr>
          <w:b/>
        </w:rPr>
        <w:t xml:space="preserve"> per month</w:t>
      </w:r>
    </w:p>
    <w:p w14:paraId="6EA91F68" w14:textId="5557F744" w:rsidR="00435291" w:rsidRDefault="00926457" w:rsidP="00C96C6C">
      <w:r>
        <w:t xml:space="preserve">Turnover </w:t>
      </w:r>
      <w:r w:rsidR="00DE5794">
        <w:t xml:space="preserve">has </w:t>
      </w:r>
      <w:r w:rsidR="00C96C6C">
        <w:t>declined slightly this year, from 4% in the previous year.</w:t>
      </w:r>
      <w:r w:rsidR="00BB0676">
        <w:t xml:space="preserve"> </w:t>
      </w:r>
      <w:r>
        <w:t xml:space="preserve">The total number of current employees is </w:t>
      </w:r>
      <w:r w:rsidR="00CD2206">
        <w:t>11</w:t>
      </w:r>
      <w:r w:rsidR="00C96C6C">
        <w:t>9</w:t>
      </w:r>
      <w:r>
        <w:t xml:space="preserve">, </w:t>
      </w:r>
      <w:r w:rsidR="00DE5794">
        <w:t xml:space="preserve">which is </w:t>
      </w:r>
      <w:r w:rsidR="00CD2206">
        <w:t>2</w:t>
      </w:r>
      <w:r w:rsidR="00DE5794">
        <w:t xml:space="preserve"> more than last year</w:t>
      </w:r>
      <w:r>
        <w:t xml:space="preserve">.  </w:t>
      </w:r>
      <w:r w:rsidR="000D2CC6">
        <w:t>Some turnover is seasonal as students return to school</w:t>
      </w:r>
      <w:r w:rsidR="00EF03A6">
        <w:t xml:space="preserve"> which occurs annually</w:t>
      </w:r>
      <w:r w:rsidR="00BB0676">
        <w:t xml:space="preserve">. </w:t>
      </w:r>
      <w:r w:rsidR="00C96C6C">
        <w:t xml:space="preserve">We did also choose not to replace 2 positions </w:t>
      </w:r>
      <w:proofErr w:type="gramStart"/>
      <w:r w:rsidR="00C96C6C">
        <w:t>vacated</w:t>
      </w:r>
      <w:proofErr w:type="gramEnd"/>
      <w:r w:rsidR="00C96C6C">
        <w:t xml:space="preserve"> that were previously funded through grants.</w:t>
      </w:r>
    </w:p>
    <w:p w14:paraId="052FEB27" w14:textId="2B4D6EE1" w:rsidR="003F35CC" w:rsidRDefault="003F35CC" w:rsidP="00D5019A">
      <w:pPr>
        <w:spacing w:after="0"/>
      </w:pPr>
      <w:r>
        <w:t>Note that the turnover rate at The Arc of Greater Boone County is well below that of the industry in general. It is not uncommon to see turnover rates of up to 40% in the industry.  As Supported Living Programs grow, this measure will need to be monitored, as turnover is historically higher in such programs.</w:t>
      </w:r>
    </w:p>
    <w:p w14:paraId="41C8F396" w14:textId="77777777" w:rsidR="00C37D56" w:rsidRDefault="00C37D56" w:rsidP="00A54D27">
      <w:pPr>
        <w:spacing w:after="0"/>
        <w:ind w:left="720"/>
      </w:pPr>
    </w:p>
    <w:p w14:paraId="466CEA6D" w14:textId="75F8CAB2" w:rsidR="003F35CC" w:rsidRPr="00D8781D" w:rsidRDefault="00C37D56" w:rsidP="00D5019A">
      <w:pPr>
        <w:spacing w:after="0"/>
      </w:pPr>
      <w:r>
        <w:t>Goal to continue</w:t>
      </w:r>
      <w:r w:rsidR="00542095">
        <w:t>.</w:t>
      </w:r>
    </w:p>
    <w:p w14:paraId="72A3D3EC" w14:textId="77777777" w:rsidR="003F35CC" w:rsidRDefault="003F35CC" w:rsidP="007C0243">
      <w:pPr>
        <w:spacing w:after="0"/>
        <w:rPr>
          <w:b/>
        </w:rPr>
      </w:pPr>
    </w:p>
    <w:p w14:paraId="6DD7315E" w14:textId="77777777" w:rsidR="008F63AC" w:rsidRPr="000404AF" w:rsidRDefault="003912D7" w:rsidP="00D8781D">
      <w:pPr>
        <w:rPr>
          <w:b/>
          <w:sz w:val="28"/>
          <w:u w:val="single"/>
        </w:rPr>
      </w:pPr>
      <w:r w:rsidRPr="000404AF">
        <w:rPr>
          <w:b/>
          <w:sz w:val="28"/>
          <w:u w:val="single"/>
        </w:rPr>
        <w:t>Other Areas Reviewed</w:t>
      </w:r>
    </w:p>
    <w:p w14:paraId="02BDE1B4" w14:textId="2D07F19B" w:rsidR="003912D7" w:rsidRPr="000404AF" w:rsidRDefault="003912D7" w:rsidP="000404AF">
      <w:pPr>
        <w:jc w:val="center"/>
        <w:rPr>
          <w:b/>
          <w:sz w:val="28"/>
          <w:u w:val="single"/>
        </w:rPr>
      </w:pPr>
      <w:r w:rsidRPr="000404AF">
        <w:rPr>
          <w:b/>
          <w:sz w:val="28"/>
          <w:u w:val="single"/>
        </w:rPr>
        <w:t>Critical Incidents</w:t>
      </w:r>
      <w:r w:rsidR="000404AF">
        <w:rPr>
          <w:b/>
          <w:sz w:val="28"/>
          <w:u w:val="single"/>
        </w:rPr>
        <w:t xml:space="preserve"> Agency Wide</w:t>
      </w:r>
    </w:p>
    <w:tbl>
      <w:tblPr>
        <w:tblStyle w:val="TableGrid"/>
        <w:tblW w:w="0" w:type="auto"/>
        <w:tblLook w:val="04A0" w:firstRow="1" w:lastRow="0" w:firstColumn="1" w:lastColumn="0" w:noHBand="0" w:noVBand="1"/>
      </w:tblPr>
      <w:tblGrid>
        <w:gridCol w:w="1558"/>
        <w:gridCol w:w="1558"/>
        <w:gridCol w:w="1558"/>
        <w:gridCol w:w="1558"/>
        <w:gridCol w:w="1659"/>
        <w:gridCol w:w="1559"/>
      </w:tblGrid>
      <w:tr w:rsidR="0075614A" w14:paraId="2C566A4F" w14:textId="77777777" w:rsidTr="003C28AB">
        <w:tc>
          <w:tcPr>
            <w:tcW w:w="1558" w:type="dxa"/>
            <w:shd w:val="clear" w:color="auto" w:fill="D9D9D9" w:themeFill="background1" w:themeFillShade="D9"/>
            <w:vAlign w:val="center"/>
          </w:tcPr>
          <w:p w14:paraId="48A3A72C" w14:textId="02239965" w:rsidR="0075614A" w:rsidRDefault="0075614A" w:rsidP="0075614A">
            <w:r>
              <w:t>Description</w:t>
            </w:r>
          </w:p>
        </w:tc>
        <w:tc>
          <w:tcPr>
            <w:tcW w:w="1558" w:type="dxa"/>
            <w:shd w:val="clear" w:color="auto" w:fill="D9D9D9" w:themeFill="background1" w:themeFillShade="D9"/>
            <w:vAlign w:val="center"/>
          </w:tcPr>
          <w:p w14:paraId="49510E70" w14:textId="442C3F28" w:rsidR="0075614A" w:rsidRDefault="0075614A" w:rsidP="0075614A">
            <w:r>
              <w:t>Trends Noted</w:t>
            </w:r>
          </w:p>
        </w:tc>
        <w:tc>
          <w:tcPr>
            <w:tcW w:w="1558" w:type="dxa"/>
            <w:shd w:val="clear" w:color="auto" w:fill="D9D9D9" w:themeFill="background1" w:themeFillShade="D9"/>
            <w:vAlign w:val="center"/>
          </w:tcPr>
          <w:p w14:paraId="45A3B528" w14:textId="172FF225" w:rsidR="0075614A" w:rsidRDefault="0075614A" w:rsidP="0075614A">
            <w:r>
              <w:t>Areas Needing Improvement</w:t>
            </w:r>
          </w:p>
        </w:tc>
        <w:tc>
          <w:tcPr>
            <w:tcW w:w="1558" w:type="dxa"/>
            <w:shd w:val="clear" w:color="auto" w:fill="D9D9D9" w:themeFill="background1" w:themeFillShade="D9"/>
            <w:vAlign w:val="center"/>
          </w:tcPr>
          <w:p w14:paraId="34698A89" w14:textId="6A515891" w:rsidR="0075614A" w:rsidRDefault="0075614A" w:rsidP="0075614A">
            <w:r>
              <w:t>Actions to Address Needs</w:t>
            </w:r>
          </w:p>
        </w:tc>
        <w:tc>
          <w:tcPr>
            <w:tcW w:w="1659" w:type="dxa"/>
            <w:shd w:val="clear" w:color="auto" w:fill="D9D9D9" w:themeFill="background1" w:themeFillShade="D9"/>
            <w:vAlign w:val="center"/>
          </w:tcPr>
          <w:p w14:paraId="4FF47CCA" w14:textId="15554F1B" w:rsidR="0075614A" w:rsidRDefault="0075614A" w:rsidP="0075614A">
            <w:r>
              <w:t>Implementation</w:t>
            </w:r>
          </w:p>
        </w:tc>
        <w:tc>
          <w:tcPr>
            <w:tcW w:w="1559" w:type="dxa"/>
            <w:shd w:val="clear" w:color="auto" w:fill="D9D9D9" w:themeFill="background1" w:themeFillShade="D9"/>
            <w:vAlign w:val="center"/>
          </w:tcPr>
          <w:p w14:paraId="7164351C" w14:textId="6A49569C" w:rsidR="0075614A" w:rsidRDefault="0075614A" w:rsidP="0075614A">
            <w:r>
              <w:t>Results</w:t>
            </w:r>
          </w:p>
        </w:tc>
      </w:tr>
      <w:tr w:rsidR="0075614A" w14:paraId="366308E5" w14:textId="77777777" w:rsidTr="003C28AB">
        <w:tc>
          <w:tcPr>
            <w:tcW w:w="1558" w:type="dxa"/>
          </w:tcPr>
          <w:p w14:paraId="0A392B59" w14:textId="4AFD01D6" w:rsidR="0075614A" w:rsidRDefault="00FD75B3" w:rsidP="0075614A">
            <w:r>
              <w:t>1</w:t>
            </w:r>
            <w:r w:rsidR="00C96C6C">
              <w:t>1</w:t>
            </w:r>
            <w:r w:rsidR="0075614A">
              <w:t xml:space="preserve"> falls and injuries</w:t>
            </w:r>
          </w:p>
        </w:tc>
        <w:tc>
          <w:tcPr>
            <w:tcW w:w="1558" w:type="dxa"/>
          </w:tcPr>
          <w:p w14:paraId="4E40B638" w14:textId="4FC7567D" w:rsidR="0075614A" w:rsidRDefault="0075614A" w:rsidP="0075614A">
            <w:r>
              <w:t>None – each was individual and no pattern with health issues</w:t>
            </w:r>
          </w:p>
        </w:tc>
        <w:tc>
          <w:tcPr>
            <w:tcW w:w="1558" w:type="dxa"/>
          </w:tcPr>
          <w:p w14:paraId="239B67B9" w14:textId="11CDA70E" w:rsidR="0075614A" w:rsidRDefault="0075614A" w:rsidP="0075614A">
            <w:r>
              <w:t>None</w:t>
            </w:r>
          </w:p>
        </w:tc>
        <w:tc>
          <w:tcPr>
            <w:tcW w:w="1558" w:type="dxa"/>
          </w:tcPr>
          <w:p w14:paraId="1BE6F4D5" w14:textId="536CB0FB" w:rsidR="0075614A" w:rsidRDefault="0075614A" w:rsidP="0075614A">
            <w:r>
              <w:t>n/a</w:t>
            </w:r>
          </w:p>
        </w:tc>
        <w:tc>
          <w:tcPr>
            <w:tcW w:w="1659" w:type="dxa"/>
          </w:tcPr>
          <w:p w14:paraId="064B53F1" w14:textId="32D1D8AE" w:rsidR="0075614A" w:rsidRDefault="0075614A" w:rsidP="0075614A">
            <w:r>
              <w:t>n/a</w:t>
            </w:r>
          </w:p>
        </w:tc>
        <w:tc>
          <w:tcPr>
            <w:tcW w:w="1559" w:type="dxa"/>
          </w:tcPr>
          <w:p w14:paraId="12DFFFBF" w14:textId="24FB226A" w:rsidR="0075614A" w:rsidRDefault="0075614A" w:rsidP="0075614A">
            <w:r>
              <w:t>n/a</w:t>
            </w:r>
          </w:p>
        </w:tc>
      </w:tr>
      <w:tr w:rsidR="0075614A" w14:paraId="0F6B7EDC" w14:textId="77777777" w:rsidTr="003C28AB">
        <w:tc>
          <w:tcPr>
            <w:tcW w:w="1558" w:type="dxa"/>
          </w:tcPr>
          <w:p w14:paraId="1EC86A40" w14:textId="69C87CA8" w:rsidR="0075614A" w:rsidRDefault="00C96C6C" w:rsidP="0075614A">
            <w:r>
              <w:t>1</w:t>
            </w:r>
            <w:r w:rsidR="0075614A">
              <w:t>substantiated abuse/neglect exploitation by staff</w:t>
            </w:r>
          </w:p>
        </w:tc>
        <w:tc>
          <w:tcPr>
            <w:tcW w:w="1558" w:type="dxa"/>
          </w:tcPr>
          <w:p w14:paraId="09A0D353" w14:textId="4B632334" w:rsidR="0075614A" w:rsidRDefault="003C28AB" w:rsidP="0075614A">
            <w:r>
              <w:t>No trends noted</w:t>
            </w:r>
          </w:p>
        </w:tc>
        <w:tc>
          <w:tcPr>
            <w:tcW w:w="1558" w:type="dxa"/>
          </w:tcPr>
          <w:p w14:paraId="79D7C1DC" w14:textId="0397420E" w:rsidR="0075614A" w:rsidRDefault="00C96C6C" w:rsidP="0075614A">
            <w:r>
              <w:t>n/a</w:t>
            </w:r>
          </w:p>
        </w:tc>
        <w:tc>
          <w:tcPr>
            <w:tcW w:w="1558" w:type="dxa"/>
          </w:tcPr>
          <w:p w14:paraId="6535034A" w14:textId="39A8B71D" w:rsidR="0075614A" w:rsidRDefault="00C96C6C" w:rsidP="0075614A">
            <w:r>
              <w:t>n/a</w:t>
            </w:r>
          </w:p>
        </w:tc>
        <w:tc>
          <w:tcPr>
            <w:tcW w:w="1659" w:type="dxa"/>
          </w:tcPr>
          <w:p w14:paraId="3DCC1D27" w14:textId="6F16BB99" w:rsidR="0075614A" w:rsidRDefault="00C96C6C" w:rsidP="0075614A">
            <w:r>
              <w:t>n/a</w:t>
            </w:r>
          </w:p>
        </w:tc>
        <w:tc>
          <w:tcPr>
            <w:tcW w:w="1559" w:type="dxa"/>
          </w:tcPr>
          <w:p w14:paraId="5A8730E4" w14:textId="16D83E79" w:rsidR="0075614A" w:rsidRDefault="003C28AB" w:rsidP="0075614A">
            <w:r>
              <w:t>No further reports</w:t>
            </w:r>
          </w:p>
        </w:tc>
      </w:tr>
    </w:tbl>
    <w:p w14:paraId="11DB7755" w14:textId="71ABC410" w:rsidR="00542095" w:rsidRDefault="00542095" w:rsidP="0075614A"/>
    <w:p w14:paraId="230BF7E8" w14:textId="77777777" w:rsidR="003C28AB" w:rsidRDefault="003C28AB" w:rsidP="0075614A"/>
    <w:p w14:paraId="10EF9454" w14:textId="77777777" w:rsidR="00C96C6C" w:rsidRDefault="00C96C6C">
      <w:pPr>
        <w:rPr>
          <w:b/>
          <w:sz w:val="28"/>
          <w:u w:val="single"/>
        </w:rPr>
      </w:pPr>
      <w:r>
        <w:rPr>
          <w:b/>
          <w:sz w:val="28"/>
          <w:u w:val="single"/>
        </w:rPr>
        <w:br w:type="page"/>
      </w:r>
    </w:p>
    <w:p w14:paraId="16F11E87" w14:textId="673C5757" w:rsidR="003912D7" w:rsidRPr="000404AF" w:rsidRDefault="003912D7" w:rsidP="000404AF">
      <w:pPr>
        <w:ind w:left="360"/>
        <w:jc w:val="center"/>
        <w:rPr>
          <w:b/>
          <w:sz w:val="28"/>
          <w:u w:val="single"/>
        </w:rPr>
      </w:pPr>
      <w:r w:rsidRPr="000404AF">
        <w:rPr>
          <w:b/>
          <w:sz w:val="28"/>
          <w:u w:val="single"/>
        </w:rPr>
        <w:lastRenderedPageBreak/>
        <w:t>Complaints</w:t>
      </w:r>
      <w:r w:rsidR="000404AF">
        <w:rPr>
          <w:b/>
          <w:sz w:val="28"/>
          <w:u w:val="single"/>
        </w:rPr>
        <w:t xml:space="preserve"> Agency Wide</w:t>
      </w:r>
    </w:p>
    <w:tbl>
      <w:tblPr>
        <w:tblStyle w:val="TableGrid"/>
        <w:tblW w:w="0" w:type="auto"/>
        <w:tblLook w:val="04A0" w:firstRow="1" w:lastRow="0" w:firstColumn="1" w:lastColumn="0" w:noHBand="0" w:noVBand="1"/>
      </w:tblPr>
      <w:tblGrid>
        <w:gridCol w:w="1519"/>
        <w:gridCol w:w="1613"/>
        <w:gridCol w:w="1613"/>
        <w:gridCol w:w="1699"/>
        <w:gridCol w:w="1659"/>
        <w:gridCol w:w="1473"/>
      </w:tblGrid>
      <w:tr w:rsidR="000404AF" w14:paraId="26D2854C" w14:textId="77777777" w:rsidTr="000404AF">
        <w:tc>
          <w:tcPr>
            <w:tcW w:w="1558" w:type="dxa"/>
            <w:shd w:val="clear" w:color="auto" w:fill="D9D9D9" w:themeFill="background1" w:themeFillShade="D9"/>
            <w:vAlign w:val="center"/>
          </w:tcPr>
          <w:p w14:paraId="6E83204A" w14:textId="77777777" w:rsidR="000404AF" w:rsidRDefault="000404AF" w:rsidP="000404AF">
            <w:r>
              <w:t>Description</w:t>
            </w:r>
          </w:p>
        </w:tc>
        <w:tc>
          <w:tcPr>
            <w:tcW w:w="1558" w:type="dxa"/>
            <w:shd w:val="clear" w:color="auto" w:fill="D9D9D9" w:themeFill="background1" w:themeFillShade="D9"/>
            <w:vAlign w:val="center"/>
          </w:tcPr>
          <w:p w14:paraId="377AB43D" w14:textId="77777777" w:rsidR="000404AF" w:rsidRDefault="000404AF" w:rsidP="000404AF">
            <w:r>
              <w:t>Trends Noted</w:t>
            </w:r>
          </w:p>
        </w:tc>
        <w:tc>
          <w:tcPr>
            <w:tcW w:w="1558" w:type="dxa"/>
            <w:shd w:val="clear" w:color="auto" w:fill="D9D9D9" w:themeFill="background1" w:themeFillShade="D9"/>
            <w:vAlign w:val="center"/>
          </w:tcPr>
          <w:p w14:paraId="79615DA6" w14:textId="77777777" w:rsidR="000404AF" w:rsidRDefault="000404AF" w:rsidP="000404AF">
            <w:r>
              <w:t>Areas Needing Improvement</w:t>
            </w:r>
          </w:p>
        </w:tc>
        <w:tc>
          <w:tcPr>
            <w:tcW w:w="1558" w:type="dxa"/>
            <w:shd w:val="clear" w:color="auto" w:fill="D9D9D9" w:themeFill="background1" w:themeFillShade="D9"/>
            <w:vAlign w:val="center"/>
          </w:tcPr>
          <w:p w14:paraId="2752B32D" w14:textId="77777777" w:rsidR="000404AF" w:rsidRDefault="000404AF" w:rsidP="000404AF">
            <w:r>
              <w:t>Actions to Address Needs</w:t>
            </w:r>
          </w:p>
        </w:tc>
        <w:tc>
          <w:tcPr>
            <w:tcW w:w="1559" w:type="dxa"/>
            <w:shd w:val="clear" w:color="auto" w:fill="D9D9D9" w:themeFill="background1" w:themeFillShade="D9"/>
            <w:vAlign w:val="center"/>
          </w:tcPr>
          <w:p w14:paraId="2AB08138" w14:textId="77777777" w:rsidR="000404AF" w:rsidRDefault="000404AF" w:rsidP="000404AF">
            <w:r>
              <w:t>Implementation</w:t>
            </w:r>
          </w:p>
        </w:tc>
        <w:tc>
          <w:tcPr>
            <w:tcW w:w="1559" w:type="dxa"/>
            <w:shd w:val="clear" w:color="auto" w:fill="D9D9D9" w:themeFill="background1" w:themeFillShade="D9"/>
            <w:vAlign w:val="center"/>
          </w:tcPr>
          <w:p w14:paraId="5059F9D7" w14:textId="77777777" w:rsidR="000404AF" w:rsidRDefault="000404AF" w:rsidP="000404AF">
            <w:r>
              <w:t>Results</w:t>
            </w:r>
          </w:p>
        </w:tc>
      </w:tr>
      <w:tr w:rsidR="000404AF" w14:paraId="4F24C830" w14:textId="77777777" w:rsidTr="000404AF">
        <w:tc>
          <w:tcPr>
            <w:tcW w:w="1558" w:type="dxa"/>
          </w:tcPr>
          <w:p w14:paraId="7550866E" w14:textId="19109192" w:rsidR="000404AF" w:rsidRDefault="00C96C6C" w:rsidP="000404AF">
            <w:r>
              <w:t>1</w:t>
            </w:r>
            <w:r w:rsidR="007B0513">
              <w:t xml:space="preserve"> – related to move away from sheltered work</w:t>
            </w:r>
          </w:p>
        </w:tc>
        <w:tc>
          <w:tcPr>
            <w:tcW w:w="1558" w:type="dxa"/>
          </w:tcPr>
          <w:p w14:paraId="2D42114A" w14:textId="0BABCCA8" w:rsidR="000404AF" w:rsidRDefault="007B0513" w:rsidP="000404AF">
            <w:r>
              <w:t>That some communication delegated to manager level did not meet intended outcomes</w:t>
            </w:r>
          </w:p>
        </w:tc>
        <w:tc>
          <w:tcPr>
            <w:tcW w:w="1558" w:type="dxa"/>
          </w:tcPr>
          <w:p w14:paraId="5A9E09F1" w14:textId="36158B28" w:rsidR="000404AF" w:rsidRDefault="00C96C6C" w:rsidP="000404AF">
            <w:r>
              <w:t>Increased communication when changes</w:t>
            </w:r>
          </w:p>
        </w:tc>
        <w:tc>
          <w:tcPr>
            <w:tcW w:w="1558" w:type="dxa"/>
          </w:tcPr>
          <w:p w14:paraId="7BF03604" w14:textId="3A01949B" w:rsidR="000404AF" w:rsidRDefault="007B0513" w:rsidP="000404AF">
            <w:r>
              <w:t>Internal leadership discussions and plans to develop talking points, address in blogs, and have more direct communications with families when changes</w:t>
            </w:r>
          </w:p>
        </w:tc>
        <w:tc>
          <w:tcPr>
            <w:tcW w:w="1559" w:type="dxa"/>
          </w:tcPr>
          <w:p w14:paraId="495544FE" w14:textId="60DB750C" w:rsidR="000404AF" w:rsidRDefault="007B0513" w:rsidP="000404AF">
            <w:r>
              <w:t>In process – not had a change to announce since</w:t>
            </w:r>
          </w:p>
        </w:tc>
        <w:tc>
          <w:tcPr>
            <w:tcW w:w="1559" w:type="dxa"/>
          </w:tcPr>
          <w:p w14:paraId="6744A2C2" w14:textId="77777777" w:rsidR="000404AF" w:rsidRDefault="000404AF" w:rsidP="000404AF">
            <w:r>
              <w:t>n/a</w:t>
            </w:r>
          </w:p>
        </w:tc>
      </w:tr>
    </w:tbl>
    <w:p w14:paraId="6E65E4F8" w14:textId="77777777" w:rsidR="000404AF" w:rsidRDefault="000404AF" w:rsidP="000404AF">
      <w:pPr>
        <w:pStyle w:val="ListParagraph"/>
      </w:pPr>
    </w:p>
    <w:p w14:paraId="0998CC37" w14:textId="7A64217E" w:rsidR="008E245F" w:rsidRDefault="008E245F" w:rsidP="00D5019A">
      <w:pPr>
        <w:pStyle w:val="ListParagraph"/>
        <w:numPr>
          <w:ilvl w:val="0"/>
          <w:numId w:val="5"/>
        </w:numPr>
      </w:pPr>
      <w:r>
        <w:t>Safety Compliance</w:t>
      </w:r>
      <w:r w:rsidR="00947963">
        <w:t>:</w:t>
      </w:r>
    </w:p>
    <w:p w14:paraId="62486C05" w14:textId="7B416419" w:rsidR="00896E92" w:rsidRPr="00542095" w:rsidRDefault="00947963" w:rsidP="00D5019A">
      <w:pPr>
        <w:pStyle w:val="ListParagraph"/>
        <w:numPr>
          <w:ilvl w:val="1"/>
          <w:numId w:val="5"/>
        </w:numPr>
      </w:pPr>
      <w:r>
        <w:t xml:space="preserve">Safety </w:t>
      </w:r>
      <w:proofErr w:type="gramStart"/>
      <w:r>
        <w:t>committee did review</w:t>
      </w:r>
      <w:proofErr w:type="gramEnd"/>
      <w:r>
        <w:t xml:space="preserve"> all incidents for trends and needed changes in FY20</w:t>
      </w:r>
      <w:r w:rsidR="00542095">
        <w:t>2</w:t>
      </w:r>
      <w:r w:rsidR="007B0513">
        <w:t>5</w:t>
      </w:r>
      <w:r>
        <w:t>.</w:t>
      </w:r>
    </w:p>
    <w:p w14:paraId="40D7B74F" w14:textId="0A6F4D27" w:rsidR="00D8781D" w:rsidRDefault="00D8781D" w:rsidP="00D8781D">
      <w:pPr>
        <w:jc w:val="center"/>
        <w:rPr>
          <w:b/>
          <w:u w:val="single"/>
        </w:rPr>
      </w:pPr>
      <w:r w:rsidRPr="00D8781D">
        <w:rPr>
          <w:b/>
          <w:u w:val="single"/>
        </w:rPr>
        <w:t>FY20</w:t>
      </w:r>
      <w:r w:rsidR="0011797C">
        <w:rPr>
          <w:b/>
          <w:u w:val="single"/>
        </w:rPr>
        <w:t>25</w:t>
      </w:r>
      <w:r w:rsidRPr="00D8781D">
        <w:rPr>
          <w:b/>
          <w:u w:val="single"/>
        </w:rPr>
        <w:t xml:space="preserve"> </w:t>
      </w:r>
      <w:r w:rsidR="00542095">
        <w:rPr>
          <w:b/>
          <w:u w:val="single"/>
        </w:rPr>
        <w:t>Recommendations</w:t>
      </w:r>
    </w:p>
    <w:p w14:paraId="1DD2059C" w14:textId="69FA5D1D" w:rsidR="00926457" w:rsidRDefault="00895773" w:rsidP="00BB0676">
      <w:pPr>
        <w:pStyle w:val="ListParagraph"/>
        <w:numPr>
          <w:ilvl w:val="0"/>
          <w:numId w:val="13"/>
        </w:numPr>
      </w:pPr>
      <w:r>
        <w:t>Continue tracking and mon</w:t>
      </w:r>
      <w:r w:rsidR="0075614A">
        <w:t>i</w:t>
      </w:r>
      <w:r>
        <w:t>toring of key performance metrics with reports to the Board on Summary Data at their regularly scheduled meetings</w:t>
      </w:r>
      <w:r w:rsidR="00BB0676">
        <w:t xml:space="preserve">. </w:t>
      </w:r>
    </w:p>
    <w:p w14:paraId="5B2E9E55" w14:textId="476594EB" w:rsidR="00BB0676" w:rsidRPr="00542095" w:rsidRDefault="00BB0676" w:rsidP="00BB0676">
      <w:pPr>
        <w:pStyle w:val="ListParagraph"/>
        <w:numPr>
          <w:ilvl w:val="0"/>
          <w:numId w:val="13"/>
        </w:numPr>
      </w:pPr>
      <w:r>
        <w:t xml:space="preserve">Assess and adjust metrics which are no longer reflective of current programs. </w:t>
      </w:r>
    </w:p>
    <w:sectPr w:rsidR="00BB0676" w:rsidRPr="00542095" w:rsidSect="00C0586B">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280FE" w14:textId="77777777" w:rsidR="00645CE1" w:rsidRDefault="00645CE1" w:rsidP="008E245F">
      <w:pPr>
        <w:spacing w:after="0" w:line="240" w:lineRule="auto"/>
      </w:pPr>
      <w:r>
        <w:separator/>
      </w:r>
    </w:p>
  </w:endnote>
  <w:endnote w:type="continuationSeparator" w:id="0">
    <w:p w14:paraId="46944CDB" w14:textId="77777777" w:rsidR="00645CE1" w:rsidRDefault="00645CE1" w:rsidP="008E2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0CA1C" w14:textId="13489921" w:rsidR="00A77333" w:rsidRDefault="00A77333">
    <w:pPr>
      <w:pStyle w:val="Footer"/>
    </w:pPr>
    <w:r>
      <w:t>July 2025</w:t>
    </w:r>
  </w:p>
  <w:p w14:paraId="26F83443" w14:textId="480CDE16" w:rsidR="00645CE1" w:rsidRDefault="00645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D85E7" w14:textId="77777777" w:rsidR="00645CE1" w:rsidRDefault="00645CE1" w:rsidP="008E245F">
      <w:pPr>
        <w:spacing w:after="0" w:line="240" w:lineRule="auto"/>
      </w:pPr>
      <w:r>
        <w:separator/>
      </w:r>
    </w:p>
  </w:footnote>
  <w:footnote w:type="continuationSeparator" w:id="0">
    <w:p w14:paraId="1F04ED76" w14:textId="77777777" w:rsidR="00645CE1" w:rsidRDefault="00645CE1" w:rsidP="008E24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65D55"/>
    <w:multiLevelType w:val="hybridMultilevel"/>
    <w:tmpl w:val="98F42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34B3F"/>
    <w:multiLevelType w:val="hybridMultilevel"/>
    <w:tmpl w:val="CD5AAB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D902AA"/>
    <w:multiLevelType w:val="hybridMultilevel"/>
    <w:tmpl w:val="D8D04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B311F"/>
    <w:multiLevelType w:val="hybridMultilevel"/>
    <w:tmpl w:val="67081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5D04A6"/>
    <w:multiLevelType w:val="hybridMultilevel"/>
    <w:tmpl w:val="015C90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2E14FDF"/>
    <w:multiLevelType w:val="hybridMultilevel"/>
    <w:tmpl w:val="B33EC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B23207"/>
    <w:multiLevelType w:val="hybridMultilevel"/>
    <w:tmpl w:val="F5EE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C04848"/>
    <w:multiLevelType w:val="hybridMultilevel"/>
    <w:tmpl w:val="0122F7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14A5552"/>
    <w:multiLevelType w:val="hybridMultilevel"/>
    <w:tmpl w:val="CCA431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84F5A75"/>
    <w:multiLevelType w:val="hybridMultilevel"/>
    <w:tmpl w:val="16DA1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C5017A"/>
    <w:multiLevelType w:val="hybridMultilevel"/>
    <w:tmpl w:val="B420CB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72F0EAC"/>
    <w:multiLevelType w:val="hybridMultilevel"/>
    <w:tmpl w:val="17F43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890C7B"/>
    <w:multiLevelType w:val="hybridMultilevel"/>
    <w:tmpl w:val="E86406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7E265703"/>
    <w:multiLevelType w:val="hybridMultilevel"/>
    <w:tmpl w:val="BAA6FC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42361175">
    <w:abstractNumId w:val="12"/>
  </w:num>
  <w:num w:numId="2" w16cid:durableId="1186749280">
    <w:abstractNumId w:val="13"/>
  </w:num>
  <w:num w:numId="3" w16cid:durableId="1079402689">
    <w:abstractNumId w:val="8"/>
  </w:num>
  <w:num w:numId="4" w16cid:durableId="804078641">
    <w:abstractNumId w:val="10"/>
  </w:num>
  <w:num w:numId="5" w16cid:durableId="1158308090">
    <w:abstractNumId w:val="11"/>
  </w:num>
  <w:num w:numId="6" w16cid:durableId="634798196">
    <w:abstractNumId w:val="1"/>
  </w:num>
  <w:num w:numId="7" w16cid:durableId="2087652770">
    <w:abstractNumId w:val="6"/>
  </w:num>
  <w:num w:numId="8" w16cid:durableId="2090610229">
    <w:abstractNumId w:val="9"/>
  </w:num>
  <w:num w:numId="9" w16cid:durableId="542449956">
    <w:abstractNumId w:val="4"/>
  </w:num>
  <w:num w:numId="10" w16cid:durableId="1857891091">
    <w:abstractNumId w:val="0"/>
  </w:num>
  <w:num w:numId="11" w16cid:durableId="529074641">
    <w:abstractNumId w:val="3"/>
  </w:num>
  <w:num w:numId="12" w16cid:durableId="977033710">
    <w:abstractNumId w:val="7"/>
  </w:num>
  <w:num w:numId="13" w16cid:durableId="581842348">
    <w:abstractNumId w:val="2"/>
  </w:num>
  <w:num w:numId="14" w16cid:durableId="194779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7574"/>
    <w:rsid w:val="00032A11"/>
    <w:rsid w:val="000404AF"/>
    <w:rsid w:val="00063003"/>
    <w:rsid w:val="000C28F4"/>
    <w:rsid w:val="000D2CC6"/>
    <w:rsid w:val="000D3515"/>
    <w:rsid w:val="000F407B"/>
    <w:rsid w:val="00101C9E"/>
    <w:rsid w:val="0011797C"/>
    <w:rsid w:val="001A1144"/>
    <w:rsid w:val="001C409B"/>
    <w:rsid w:val="001C6C1B"/>
    <w:rsid w:val="00213C9E"/>
    <w:rsid w:val="00250F02"/>
    <w:rsid w:val="002618E8"/>
    <w:rsid w:val="00270458"/>
    <w:rsid w:val="002829E3"/>
    <w:rsid w:val="0031063E"/>
    <w:rsid w:val="00354747"/>
    <w:rsid w:val="00355D1D"/>
    <w:rsid w:val="003912D7"/>
    <w:rsid w:val="00396005"/>
    <w:rsid w:val="003C1831"/>
    <w:rsid w:val="003C28AB"/>
    <w:rsid w:val="003F35CC"/>
    <w:rsid w:val="00417473"/>
    <w:rsid w:val="00435291"/>
    <w:rsid w:val="004749FB"/>
    <w:rsid w:val="004D4C70"/>
    <w:rsid w:val="00505212"/>
    <w:rsid w:val="00523871"/>
    <w:rsid w:val="005414B0"/>
    <w:rsid w:val="00542095"/>
    <w:rsid w:val="00584F27"/>
    <w:rsid w:val="005B53D5"/>
    <w:rsid w:val="005C1E2A"/>
    <w:rsid w:val="005C1F82"/>
    <w:rsid w:val="005D5F76"/>
    <w:rsid w:val="005F42ED"/>
    <w:rsid w:val="00603D12"/>
    <w:rsid w:val="006455CB"/>
    <w:rsid w:val="00645CE1"/>
    <w:rsid w:val="006601EC"/>
    <w:rsid w:val="00691003"/>
    <w:rsid w:val="006A7911"/>
    <w:rsid w:val="00706FF7"/>
    <w:rsid w:val="00717954"/>
    <w:rsid w:val="0072634D"/>
    <w:rsid w:val="00735867"/>
    <w:rsid w:val="0075614A"/>
    <w:rsid w:val="007617C6"/>
    <w:rsid w:val="00767574"/>
    <w:rsid w:val="00777A67"/>
    <w:rsid w:val="00796318"/>
    <w:rsid w:val="007B0513"/>
    <w:rsid w:val="007C0243"/>
    <w:rsid w:val="007C13C9"/>
    <w:rsid w:val="00820DFA"/>
    <w:rsid w:val="00895773"/>
    <w:rsid w:val="00896452"/>
    <w:rsid w:val="00896E92"/>
    <w:rsid w:val="008B228F"/>
    <w:rsid w:val="008C2957"/>
    <w:rsid w:val="008C3367"/>
    <w:rsid w:val="008E245F"/>
    <w:rsid w:val="008F63AC"/>
    <w:rsid w:val="0090073C"/>
    <w:rsid w:val="00925B7A"/>
    <w:rsid w:val="00926457"/>
    <w:rsid w:val="00947963"/>
    <w:rsid w:val="00967137"/>
    <w:rsid w:val="0099248D"/>
    <w:rsid w:val="009A1CAF"/>
    <w:rsid w:val="009C0243"/>
    <w:rsid w:val="009D7253"/>
    <w:rsid w:val="009D78AF"/>
    <w:rsid w:val="009F51D0"/>
    <w:rsid w:val="00A45A85"/>
    <w:rsid w:val="00A54D27"/>
    <w:rsid w:val="00A76E6C"/>
    <w:rsid w:val="00A77333"/>
    <w:rsid w:val="00AA6DFC"/>
    <w:rsid w:val="00AE767D"/>
    <w:rsid w:val="00AF00BE"/>
    <w:rsid w:val="00B309F6"/>
    <w:rsid w:val="00B31233"/>
    <w:rsid w:val="00B77658"/>
    <w:rsid w:val="00B912D5"/>
    <w:rsid w:val="00BB0676"/>
    <w:rsid w:val="00BF482D"/>
    <w:rsid w:val="00C0586B"/>
    <w:rsid w:val="00C160DF"/>
    <w:rsid w:val="00C37D56"/>
    <w:rsid w:val="00C531F3"/>
    <w:rsid w:val="00C96C6C"/>
    <w:rsid w:val="00CD2206"/>
    <w:rsid w:val="00D04409"/>
    <w:rsid w:val="00D04813"/>
    <w:rsid w:val="00D4780B"/>
    <w:rsid w:val="00D5019A"/>
    <w:rsid w:val="00D52D72"/>
    <w:rsid w:val="00D84C14"/>
    <w:rsid w:val="00D87419"/>
    <w:rsid w:val="00D8781D"/>
    <w:rsid w:val="00DB4D7B"/>
    <w:rsid w:val="00DC08AF"/>
    <w:rsid w:val="00DE5794"/>
    <w:rsid w:val="00E822B0"/>
    <w:rsid w:val="00E90E83"/>
    <w:rsid w:val="00E955ED"/>
    <w:rsid w:val="00EF03A6"/>
    <w:rsid w:val="00EF7242"/>
    <w:rsid w:val="00F04F34"/>
    <w:rsid w:val="00F44D5D"/>
    <w:rsid w:val="00F7057A"/>
    <w:rsid w:val="00FD75B3"/>
    <w:rsid w:val="00FE26D1"/>
    <w:rsid w:val="00FE4694"/>
    <w:rsid w:val="1ADE7E78"/>
    <w:rsid w:val="4F27D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11D55"/>
  <w15:docId w15:val="{26F51E5E-9497-44AB-BFD7-74E3E349D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7C6"/>
    <w:pPr>
      <w:ind w:left="720"/>
      <w:contextualSpacing/>
    </w:pPr>
  </w:style>
  <w:style w:type="paragraph" w:styleId="BalloonText">
    <w:name w:val="Balloon Text"/>
    <w:basedOn w:val="Normal"/>
    <w:link w:val="BalloonTextChar"/>
    <w:uiPriority w:val="99"/>
    <w:semiHidden/>
    <w:unhideWhenUsed/>
    <w:rsid w:val="001C6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C1B"/>
    <w:rPr>
      <w:rFonts w:ascii="Tahoma" w:hAnsi="Tahoma" w:cs="Tahoma"/>
      <w:sz w:val="16"/>
      <w:szCs w:val="16"/>
    </w:rPr>
  </w:style>
  <w:style w:type="paragraph" w:styleId="Header">
    <w:name w:val="header"/>
    <w:basedOn w:val="Normal"/>
    <w:link w:val="HeaderChar"/>
    <w:uiPriority w:val="99"/>
    <w:unhideWhenUsed/>
    <w:rsid w:val="008E24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45F"/>
  </w:style>
  <w:style w:type="paragraph" w:styleId="Footer">
    <w:name w:val="footer"/>
    <w:basedOn w:val="Normal"/>
    <w:link w:val="FooterChar"/>
    <w:uiPriority w:val="99"/>
    <w:unhideWhenUsed/>
    <w:rsid w:val="008E24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45F"/>
  </w:style>
  <w:style w:type="table" w:styleId="TableGrid">
    <w:name w:val="Table Grid"/>
    <w:basedOn w:val="TableNormal"/>
    <w:uiPriority w:val="59"/>
    <w:unhideWhenUsed/>
    <w:rsid w:val="00AE7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6066058128E344843A101FA6263BEC" ma:contentTypeVersion="7" ma:contentTypeDescription="Create a new document." ma:contentTypeScope="" ma:versionID="cc9f768bb08e48b8c6a7a5a6c2b2cdaa">
  <xsd:schema xmlns:xsd="http://www.w3.org/2001/XMLSchema" xmlns:xs="http://www.w3.org/2001/XMLSchema" xmlns:p="http://schemas.microsoft.com/office/2006/metadata/properties" xmlns:ns2="214236a5-9b33-4ecf-a7f1-a3d898509730" xmlns:ns3="0a38faa4-212e-4aff-a383-8c7a0c001262" targetNamespace="http://schemas.microsoft.com/office/2006/metadata/properties" ma:root="true" ma:fieldsID="89db7a098af9f429079e171d491e5883" ns2:_="" ns3:_="">
    <xsd:import namespace="214236a5-9b33-4ecf-a7f1-a3d898509730"/>
    <xsd:import namespace="0a38faa4-212e-4aff-a383-8c7a0c001262"/>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236a5-9b33-4ecf-a7f1-a3d8985097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38faa4-212e-4aff-a383-8c7a0c00126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14236a5-9b33-4ecf-a7f1-a3d898509730" xsi:nil="true"/>
  </documentManagement>
</p:properties>
</file>

<file path=customXml/itemProps1.xml><?xml version="1.0" encoding="utf-8"?>
<ds:datastoreItem xmlns:ds="http://schemas.openxmlformats.org/officeDocument/2006/customXml" ds:itemID="{0135B4B4-D3F2-465D-9DDF-7740206983E8}">
  <ds:schemaRefs>
    <ds:schemaRef ds:uri="http://schemas.microsoft.com/sharepoint/v3/contenttype/forms"/>
  </ds:schemaRefs>
</ds:datastoreItem>
</file>

<file path=customXml/itemProps2.xml><?xml version="1.0" encoding="utf-8"?>
<ds:datastoreItem xmlns:ds="http://schemas.openxmlformats.org/officeDocument/2006/customXml" ds:itemID="{F3D704BA-F074-4952-A01F-8CDB5B844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236a5-9b33-4ecf-a7f1-a3d898509730"/>
    <ds:schemaRef ds:uri="0a38faa4-212e-4aff-a383-8c7a0c001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7FCD3B-6042-41E3-A5C9-43768CCE0073}">
  <ds:schemaRefs>
    <ds:schemaRef ds:uri="http://schemas.openxmlformats.org/officeDocument/2006/bibliography"/>
  </ds:schemaRefs>
</ds:datastoreItem>
</file>

<file path=customXml/itemProps4.xml><?xml version="1.0" encoding="utf-8"?>
<ds:datastoreItem xmlns:ds="http://schemas.openxmlformats.org/officeDocument/2006/customXml" ds:itemID="{BF937E66-1AD6-467C-8C56-C3226B7CD891}">
  <ds:schemaRefs>
    <ds:schemaRef ds:uri="http://schemas.microsoft.com/office/infopath/2007/PartnerControls"/>
    <ds:schemaRef ds:uri="214236a5-9b33-4ecf-a7f1-a3d898509730"/>
    <ds:schemaRef ds:uri="http://purl.org/dc/terms/"/>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0a38faa4-212e-4aff-a383-8c7a0c00126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8</Pages>
  <Words>2114</Words>
  <Characters>12052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Verbarg</dc:creator>
  <cp:keywords/>
  <dc:description/>
  <cp:lastModifiedBy>Pam Verbarg</cp:lastModifiedBy>
  <cp:revision>5</cp:revision>
  <cp:lastPrinted>2021-08-09T18:17:00Z</cp:lastPrinted>
  <dcterms:created xsi:type="dcterms:W3CDTF">2025-07-21T13:46:00Z</dcterms:created>
  <dcterms:modified xsi:type="dcterms:W3CDTF">2025-11-25T17:27:00Z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0x010100556066058128E344843A101FA6263BEC</vt:lpwstr>
  </property>
</Properties>
</file>